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87" w:rsidRPr="0076747A" w:rsidRDefault="002D2E2E" w:rsidP="00624D4E">
      <w:pPr>
        <w:pStyle w:val="Titre"/>
      </w:pPr>
      <w:r>
        <w:t>Explaining children’s failure in analogy making tasks</w:t>
      </w:r>
      <w:r w:rsidR="005279E7" w:rsidRPr="0076747A">
        <w:t xml:space="preserve">: </w:t>
      </w:r>
      <w:r>
        <w:t>A problem of focus of attention</w:t>
      </w:r>
      <w:r w:rsidR="005279E7" w:rsidRPr="0076747A">
        <w:t>?</w:t>
      </w:r>
    </w:p>
    <w:p w:rsidR="00525987" w:rsidRDefault="00525987" w:rsidP="00624D4E">
      <w:pPr>
        <w:jc w:val="center"/>
        <w:rPr>
          <w:b/>
        </w:rPr>
      </w:pPr>
    </w:p>
    <w:p w:rsidR="00525987" w:rsidRPr="002D2E2E" w:rsidRDefault="00525987" w:rsidP="00624D4E">
      <w:pPr>
        <w:pStyle w:val="Authorname"/>
        <w:rPr>
          <w:lang w:val="fr-FR"/>
        </w:rPr>
      </w:pPr>
      <w:r w:rsidRPr="002D2E2E">
        <w:rPr>
          <w:lang w:val="fr-FR"/>
        </w:rPr>
        <w:t xml:space="preserve">Yannick </w:t>
      </w:r>
      <w:proofErr w:type="spellStart"/>
      <w:r w:rsidRPr="002D2E2E">
        <w:rPr>
          <w:lang w:val="fr-FR"/>
        </w:rPr>
        <w:t>Glady</w:t>
      </w:r>
      <w:proofErr w:type="spellEnd"/>
      <w:r w:rsidRPr="002D2E2E">
        <w:rPr>
          <w:lang w:val="fr-FR"/>
        </w:rPr>
        <w:t>, Jean-Pierre Thibaut</w:t>
      </w:r>
      <w:r w:rsidR="002D2E2E" w:rsidRPr="002D2E2E">
        <w:rPr>
          <w:lang w:val="fr-FR"/>
        </w:rPr>
        <w:t>, Robert French</w:t>
      </w:r>
    </w:p>
    <w:p w:rsidR="00525987" w:rsidRPr="002D2E2E" w:rsidRDefault="009821BC" w:rsidP="00624D4E">
      <w:pPr>
        <w:jc w:val="center"/>
        <w:rPr>
          <w:rFonts w:eastAsia="Times New Roman"/>
          <w:lang w:val="fr-FR"/>
        </w:rPr>
      </w:pPr>
      <w:r w:rsidRPr="002D2E2E">
        <w:rPr>
          <w:rFonts w:eastAsia="Times New Roman"/>
          <w:lang w:val="fr-FR"/>
        </w:rPr>
        <w:t>{</w:t>
      </w:r>
      <w:proofErr w:type="spellStart"/>
      <w:r w:rsidRPr="002D2E2E">
        <w:rPr>
          <w:rFonts w:eastAsia="Times New Roman"/>
          <w:lang w:val="fr-FR"/>
        </w:rPr>
        <w:t>yannick.glady</w:t>
      </w:r>
      <w:proofErr w:type="spellEnd"/>
      <w:r w:rsidR="00525987" w:rsidRPr="002D2E2E">
        <w:rPr>
          <w:rFonts w:eastAsia="Times New Roman"/>
          <w:lang w:val="fr-FR"/>
        </w:rPr>
        <w:t xml:space="preserve">, </w:t>
      </w:r>
      <w:proofErr w:type="spellStart"/>
      <w:r w:rsidR="00525987" w:rsidRPr="002D2E2E">
        <w:rPr>
          <w:rFonts w:eastAsia="Times New Roman"/>
          <w:lang w:val="fr-FR"/>
        </w:rPr>
        <w:t>jean-</w:t>
      </w:r>
      <w:r w:rsidRPr="002D2E2E">
        <w:rPr>
          <w:rFonts w:eastAsia="Times New Roman"/>
          <w:lang w:val="fr-FR"/>
        </w:rPr>
        <w:t>pierre.thibaut</w:t>
      </w:r>
      <w:proofErr w:type="spellEnd"/>
      <w:r w:rsidR="002D2E2E" w:rsidRPr="002D2E2E">
        <w:rPr>
          <w:rFonts w:eastAsia="Times New Roman"/>
          <w:lang w:val="fr-FR"/>
        </w:rPr>
        <w:t xml:space="preserve">, </w:t>
      </w:r>
      <w:proofErr w:type="spellStart"/>
      <w:r w:rsidR="002D2E2E" w:rsidRPr="002D2E2E">
        <w:rPr>
          <w:rFonts w:eastAsia="Times New Roman"/>
          <w:lang w:val="fr-FR"/>
        </w:rPr>
        <w:t>robert.french</w:t>
      </w:r>
      <w:proofErr w:type="spellEnd"/>
      <w:r w:rsidRPr="002D2E2E">
        <w:rPr>
          <w:rFonts w:eastAsia="Times New Roman"/>
          <w:lang w:val="fr-FR"/>
        </w:rPr>
        <w:t>}</w:t>
      </w:r>
      <w:r w:rsidR="00525987" w:rsidRPr="002D2E2E">
        <w:rPr>
          <w:rFonts w:eastAsia="Times New Roman"/>
          <w:lang w:val="fr-FR"/>
        </w:rPr>
        <w:t xml:space="preserve">@u-bourgogne.fr </w:t>
      </w:r>
    </w:p>
    <w:p w:rsidR="00525987" w:rsidRDefault="00525987" w:rsidP="00624D4E">
      <w:pPr>
        <w:jc w:val="center"/>
        <w:rPr>
          <w:rFonts w:eastAsia="Times New Roman"/>
        </w:rPr>
      </w:pPr>
      <w:r>
        <w:rPr>
          <w:rFonts w:eastAsia="Times New Roman"/>
        </w:rPr>
        <w:t>LEAD-CNRS, UMR</w:t>
      </w:r>
      <w:r w:rsidR="00A248B5">
        <w:rPr>
          <w:rFonts w:eastAsia="Times New Roman"/>
        </w:rPr>
        <w:t xml:space="preserve"> </w:t>
      </w:r>
      <w:r>
        <w:rPr>
          <w:rFonts w:eastAsia="Times New Roman"/>
        </w:rPr>
        <w:t xml:space="preserve">5022, University of Burgundy, </w:t>
      </w:r>
      <w:proofErr w:type="spellStart"/>
      <w:r>
        <w:rPr>
          <w:rFonts w:eastAsia="Times New Roman"/>
        </w:rPr>
        <w:t>Pôle</w:t>
      </w:r>
      <w:proofErr w:type="spellEnd"/>
      <w:r>
        <w:rPr>
          <w:rFonts w:eastAsia="Times New Roman"/>
        </w:rPr>
        <w:t xml:space="preserve"> AAFE – Esplanade </w:t>
      </w:r>
      <w:proofErr w:type="spellStart"/>
      <w:r>
        <w:rPr>
          <w:rFonts w:eastAsia="Times New Roman"/>
        </w:rPr>
        <w:t>Erasme</w:t>
      </w:r>
      <w:proofErr w:type="spellEnd"/>
    </w:p>
    <w:p w:rsidR="00525987" w:rsidRDefault="00525987" w:rsidP="00624D4E">
      <w:pPr>
        <w:jc w:val="center"/>
        <w:rPr>
          <w:rFonts w:eastAsia="Times New Roman"/>
        </w:rPr>
      </w:pPr>
      <w:r>
        <w:rPr>
          <w:rFonts w:eastAsia="Times New Roman"/>
        </w:rPr>
        <w:t xml:space="preserve"> </w:t>
      </w:r>
      <w:proofErr w:type="gramStart"/>
      <w:r>
        <w:rPr>
          <w:rFonts w:eastAsia="Times New Roman"/>
        </w:rPr>
        <w:t>21065 DIJON.</w:t>
      </w:r>
      <w:proofErr w:type="gramEnd"/>
      <w:r>
        <w:rPr>
          <w:rFonts w:eastAsia="Times New Roman"/>
        </w:rPr>
        <w:t xml:space="preserve"> FRANCE</w:t>
      </w:r>
    </w:p>
    <w:p w:rsidR="00525987" w:rsidRDefault="00525987" w:rsidP="00624D4E">
      <w:pPr>
        <w:jc w:val="center"/>
      </w:pPr>
    </w:p>
    <w:p w:rsidR="00525987" w:rsidRDefault="00525987" w:rsidP="00624D4E">
      <w:pPr>
        <w:jc w:val="center"/>
      </w:pPr>
    </w:p>
    <w:p w:rsidR="00525987" w:rsidRDefault="00525987" w:rsidP="00624D4E">
      <w:pPr>
        <w:rPr>
          <w:rFonts w:eastAsia="Times New Roman"/>
          <w:b/>
        </w:rPr>
        <w:sectPr w:rsidR="00525987">
          <w:footnotePr>
            <w:pos w:val="beneathText"/>
          </w:footnotePr>
          <w:pgSz w:w="12240" w:h="15840"/>
          <w:pgMar w:top="1440" w:right="1080" w:bottom="1080" w:left="1080" w:header="720" w:footer="720" w:gutter="0"/>
          <w:cols w:space="720"/>
          <w:docGrid w:linePitch="360"/>
        </w:sectPr>
      </w:pPr>
    </w:p>
    <w:p w:rsidR="00525987" w:rsidRDefault="00525987" w:rsidP="00624D4E">
      <w:pPr>
        <w:pStyle w:val="Abstractheading"/>
        <w:spacing w:after="120"/>
      </w:pPr>
      <w:r>
        <w:lastRenderedPageBreak/>
        <w:t>Abstract</w:t>
      </w:r>
    </w:p>
    <w:p w:rsidR="00525987" w:rsidRDefault="00A00131" w:rsidP="00624D4E">
      <w:pPr>
        <w:pStyle w:val="Abstracttext"/>
        <w:ind w:right="0"/>
      </w:pPr>
      <w:r>
        <w:t xml:space="preserve">Analogical reasoning is commonly </w:t>
      </w:r>
      <w:r w:rsidR="00B303FE">
        <w:t>recognized</w:t>
      </w:r>
      <w:r>
        <w:t xml:space="preserve"> as essential to human cognition, but young children often perform poorly in the </w:t>
      </w:r>
      <w:r w:rsidR="00281477">
        <w:t xml:space="preserve">classical </w:t>
      </w:r>
      <w:r>
        <w:t>A</w:t>
      </w:r>
      <w:proofErr w:type="gramStart"/>
      <w:r>
        <w:t>:B</w:t>
      </w:r>
      <w:proofErr w:type="gramEnd"/>
      <w:r>
        <w:t xml:space="preserve">::C:? </w:t>
      </w:r>
      <w:proofErr w:type="gramStart"/>
      <w:r>
        <w:t>analogical</w:t>
      </w:r>
      <w:proofErr w:type="gramEnd"/>
      <w:r>
        <w:t xml:space="preserve"> reasoning task.</w:t>
      </w:r>
      <w:r w:rsidR="008B01E3">
        <w:t xml:space="preserve"> </w:t>
      </w:r>
      <w:r>
        <w:t xml:space="preserve">Previous eye-tracking results </w:t>
      </w:r>
      <w:r w:rsidR="00845A48">
        <w:t>have shown that children did not</w:t>
      </w:r>
      <w:r>
        <w:t xml:space="preserve"> </w:t>
      </w:r>
      <w:r w:rsidR="008B01E3">
        <w:t xml:space="preserve">visually </w:t>
      </w:r>
      <w:r>
        <w:t>explore the A</w:t>
      </w:r>
      <w:proofErr w:type="gramStart"/>
      <w:r>
        <w:t>:B</w:t>
      </w:r>
      <w:proofErr w:type="gramEnd"/>
      <w:r>
        <w:t xml:space="preserve"> </w:t>
      </w:r>
      <w:r w:rsidR="008B01E3">
        <w:t xml:space="preserve">pair </w:t>
      </w:r>
      <w:r>
        <w:t xml:space="preserve">as much as adults in </w:t>
      </w:r>
      <w:r w:rsidR="0043271B">
        <w:t>this</w:t>
      </w:r>
      <w:r>
        <w:t xml:space="preserve"> task. We hypothesized that this lack of </w:t>
      </w:r>
      <w:r w:rsidR="008B01E3">
        <w:t>exploration</w:t>
      </w:r>
      <w:r>
        <w:t xml:space="preserve"> could </w:t>
      </w:r>
      <w:r w:rsidR="008B01E3">
        <w:t xml:space="preserve">help account for </w:t>
      </w:r>
      <w:r>
        <w:t>the low scores of children in comparison to adults.</w:t>
      </w:r>
      <w:r w:rsidR="0027455D">
        <w:t xml:space="preserve"> </w:t>
      </w:r>
      <w:r w:rsidR="008B01E3">
        <w:t>T</w:t>
      </w:r>
      <w:r>
        <w:t>he present study show</w:t>
      </w:r>
      <w:r w:rsidR="008B01E3">
        <w:t>s</w:t>
      </w:r>
      <w:r>
        <w:t xml:space="preserve"> that </w:t>
      </w:r>
      <w:r w:rsidR="00D87D7E">
        <w:t>children</w:t>
      </w:r>
      <w:r w:rsidR="008B01E3">
        <w:t>’</w:t>
      </w:r>
      <w:r w:rsidR="00D87D7E">
        <w:t xml:space="preserve"> perform</w:t>
      </w:r>
      <w:r w:rsidR="008B01E3">
        <w:t>ance improves significantly</w:t>
      </w:r>
      <w:r w:rsidR="00D87D7E">
        <w:t xml:space="preserve"> if they are </w:t>
      </w:r>
      <w:r w:rsidR="008B01E3">
        <w:t>required</w:t>
      </w:r>
      <w:r w:rsidR="00D87D7E">
        <w:t xml:space="preserve"> to look</w:t>
      </w:r>
      <w:r w:rsidR="008B01E3">
        <w:t xml:space="preserve"> at</w:t>
      </w:r>
      <w:r w:rsidR="00D87D7E">
        <w:t xml:space="preserve"> and process the A</w:t>
      </w:r>
      <w:proofErr w:type="gramStart"/>
      <w:r w:rsidR="00D87D7E">
        <w:t>:B</w:t>
      </w:r>
      <w:proofErr w:type="gramEnd"/>
      <w:r w:rsidR="00D87D7E">
        <w:t xml:space="preserve"> pair before the</w:t>
      </w:r>
      <w:r w:rsidR="008B01E3">
        <w:t>y are shown the</w:t>
      </w:r>
      <w:r w:rsidR="00D87D7E">
        <w:t xml:space="preserve"> </w:t>
      </w:r>
      <w:r w:rsidR="008B01E3">
        <w:t>full</w:t>
      </w:r>
      <w:r w:rsidR="00D87D7E">
        <w:t xml:space="preserve"> </w:t>
      </w:r>
      <w:r w:rsidR="000E5B8D">
        <w:t xml:space="preserve">A:B::C:? </w:t>
      </w:r>
      <w:proofErr w:type="gramStart"/>
      <w:r w:rsidR="00D87D7E">
        <w:t>problem</w:t>
      </w:r>
      <w:proofErr w:type="gramEnd"/>
      <w:r w:rsidR="008B01E3">
        <w:t xml:space="preserve">. This </w:t>
      </w:r>
      <w:r w:rsidR="00D87D7E">
        <w:t>confirm</w:t>
      </w:r>
      <w:r w:rsidR="008B01E3">
        <w:t>s</w:t>
      </w:r>
      <w:r w:rsidR="00D87D7E">
        <w:t xml:space="preserve"> </w:t>
      </w:r>
      <w:r w:rsidR="008B01E3">
        <w:t xml:space="preserve">our hypothesis </w:t>
      </w:r>
      <w:r w:rsidR="00D87D7E">
        <w:t>that the A</w:t>
      </w:r>
      <w:proofErr w:type="gramStart"/>
      <w:r w:rsidR="00D87D7E">
        <w:t>:B</w:t>
      </w:r>
      <w:proofErr w:type="gramEnd"/>
      <w:r w:rsidR="00D87D7E">
        <w:t xml:space="preserve"> pair is</w:t>
      </w:r>
      <w:r w:rsidR="008B01E3">
        <w:t xml:space="preserve"> insufficiently processed </w:t>
      </w:r>
      <w:r w:rsidR="00D87D7E">
        <w:t>by children during the resolution of such problems.</w:t>
      </w:r>
    </w:p>
    <w:p w:rsidR="00525987" w:rsidRDefault="00525987" w:rsidP="00624D4E">
      <w:pPr>
        <w:pStyle w:val="Abstracttext"/>
        <w:spacing w:before="120"/>
        <w:ind w:left="187" w:right="0"/>
        <w:rPr>
          <w:bCs/>
        </w:rPr>
      </w:pPr>
      <w:r>
        <w:rPr>
          <w:b/>
          <w:bCs/>
        </w:rPr>
        <w:t>Keywords:</w:t>
      </w:r>
      <w:r w:rsidR="00D87D7E">
        <w:rPr>
          <w:b/>
          <w:bCs/>
        </w:rPr>
        <w:t xml:space="preserve"> </w:t>
      </w:r>
      <w:r w:rsidR="00D87D7E" w:rsidRPr="00D87D7E">
        <w:rPr>
          <w:bCs/>
        </w:rPr>
        <w:t>Analogical reasoning; development; executive functions</w:t>
      </w:r>
      <w:r w:rsidR="00965477">
        <w:rPr>
          <w:bCs/>
        </w:rPr>
        <w:t>; cognition</w:t>
      </w:r>
      <w:r w:rsidR="00D87D7E" w:rsidRPr="00D87D7E">
        <w:rPr>
          <w:bCs/>
        </w:rPr>
        <w:t>.</w:t>
      </w:r>
    </w:p>
    <w:p w:rsidR="00525987" w:rsidRDefault="00525987" w:rsidP="00624D4E">
      <w:pPr>
        <w:pStyle w:val="Abstracttext"/>
        <w:spacing w:before="120"/>
        <w:ind w:left="187" w:right="0"/>
        <w:rPr>
          <w:bCs/>
        </w:rPr>
      </w:pPr>
    </w:p>
    <w:p w:rsidR="00525987" w:rsidRPr="000F6140" w:rsidRDefault="00525987" w:rsidP="00624D4E">
      <w:pPr>
        <w:pStyle w:val="Titre1"/>
      </w:pPr>
      <w:r w:rsidRPr="000F6140">
        <w:t xml:space="preserve">Introduction </w:t>
      </w:r>
    </w:p>
    <w:p w:rsidR="00525987" w:rsidRDefault="00525987" w:rsidP="00624D4E">
      <w:r>
        <w:t xml:space="preserve">Analogical reasoning is </w:t>
      </w:r>
      <w:r w:rsidR="00B60B91">
        <w:t xml:space="preserve">a </w:t>
      </w:r>
      <w:r w:rsidR="00383BE7">
        <w:t xml:space="preserve">central </w:t>
      </w:r>
      <w:r w:rsidR="00B60B91">
        <w:t>feature of</w:t>
      </w:r>
      <w:r>
        <w:t xml:space="preserve"> human cognition</w:t>
      </w:r>
      <w:r w:rsidR="003C6557">
        <w:t xml:space="preserve"> </w:t>
      </w:r>
      <w:r w:rsidR="00DF1F98">
        <w:fldChar w:fldCharType="begin" w:fldLock="1"/>
      </w:r>
      <w:r w:rsidR="00272C3D">
        <w:instrText xml:space="preserve">ADDIN Mendeley Citation{1492b61b-1a7f-4713-9b4d-0b165751d91b};{c77e9676-4c3c-4c3b-a778-db2939f64818} CSL_CITATION  { "citationItems" : [ { "id" : "ITEM-1", "itemData" : { "author" : [ { "family" : "Hofstadter", "given" : "Douglas R." } ], "container-title" : "The Analogical Mind: Perspectives from Cognitive Science", "editor" : [ { "family" : "Gentner", "given" : "D." }, { "family" : "Holyoak", "given" : "K.J." }, { "family" : "Kokinov", "given" : "B." } ], "id" : "ITEM-1", "issued" : { "date-parts" : [ [ "2001" ] ] }, "note" : "\u003cm:note/\u003e", "publisher" : "The MIT Press", "publisher-place" : "Cambridge, MA", "title" : "Epilogue: Analogy as the core of cognition", "type" : "chapter" }, "uris" : [ "http://www.mendeley.com/documents/?uuid=1492b61b-1a7f-4713-9b4d-0b165751d91b" ] }, { "id" : "ITEM-2", "itemData" : { "abstract" : "Analogy is a powerful cognitive mechanism that people use to make inferences and learn new abstractions. The history of work on analogy in modern cognitive science is sketched, focusing on contributions from cognitive psychology, artificial intelligence, and philosophy of science. This review sets the stage for the 3 articles that follow in this Science Watch section.", "author" : [ { "family" : "Gentner", "given" : "D." }, { "family" : "Holyoak", "given" : "K.J." } ], "container-title" : "American Psychologist", "id" : "ITEM-2", "issue" : "1", "issued" : { "date-parts" : [ [ "1997", "1" ] ] }, "note" : "\u003cm:note/\u003e", "page" : "32-4", "title" : "Reasoning and learning by analogy.", "type" : "article-journal", "volume" : "52" }, "uris" : [ "http://www.mendeley.com/documents/?uuid=c77e9676-4c3c-4c3b-a778-db2939f64818" ] } ], "mendeley" : { "previouslyFormattedCitation" : "(Gentner \u0026#38; Holyoak, 1997; Hofstadter, 2001)" }, "properties" : { "noteIndex" : 0 }, "schema" : "https://github.com/citation-style-language/schema/raw/master/csl-citation.json" } </w:instrText>
      </w:r>
      <w:r w:rsidR="00DF1F98">
        <w:fldChar w:fldCharType="separate"/>
      </w:r>
      <w:r w:rsidR="00F23F56" w:rsidRPr="00F23F56">
        <w:rPr>
          <w:noProof/>
        </w:rPr>
        <w:t>(Gentner &amp; Holyoak, 1997; Hofstadter, 2001)</w:t>
      </w:r>
      <w:r w:rsidR="00DF1F98">
        <w:fldChar w:fldCharType="end"/>
      </w:r>
      <w:r>
        <w:t xml:space="preserve">. It </w:t>
      </w:r>
      <w:r w:rsidR="00FC604A">
        <w:t>involves</w:t>
      </w:r>
      <w:r>
        <w:t xml:space="preserve"> the transfer of relations from a source domain to a target domain from which it is more or less </w:t>
      </w:r>
      <w:r w:rsidR="00BC522F">
        <w:t>distant</w:t>
      </w:r>
      <w:r>
        <w:t>.</w:t>
      </w:r>
    </w:p>
    <w:p w:rsidR="00525987" w:rsidRDefault="00207BDA" w:rsidP="00624D4E">
      <w:r>
        <w:t>Many</w:t>
      </w:r>
      <w:r w:rsidR="00525987">
        <w:t xml:space="preserve"> </w:t>
      </w:r>
      <w:r>
        <w:t>experiments</w:t>
      </w:r>
      <w:r w:rsidR="00525987">
        <w:t xml:space="preserve"> have </w:t>
      </w:r>
      <w:r>
        <w:t>been devoted to the study of</w:t>
      </w:r>
      <w:r w:rsidR="00525987">
        <w:t xml:space="preserve"> ontogenetic changes in the </w:t>
      </w:r>
      <w:r w:rsidR="00281477">
        <w:t>ability</w:t>
      </w:r>
      <w:r w:rsidR="00525987">
        <w:t xml:space="preserve"> of analogical reasoning </w:t>
      </w:r>
      <w:r w:rsidR="00DF1F98">
        <w:fldChar w:fldCharType="begin" w:fldLock="1"/>
      </w:r>
      <w:r w:rsidR="00272C3D">
        <w:instrText xml:space="preserve">ADDIN Mendeley Citation{b9bdd94b-4973-4fef-9c89-2debd127499d};{bbc02efa-2411-4df4-8264-3dfe194d73bb};{3b738465-4e69-48f9-b37e-bb31d3723c7a};{f978608e-621c-459f-ba13-4ceeee8eb746};{968d6a46-4506-4c17-ab37-e4e0177d428b} CSL_CITATION  { "citationItems" : [ { "id" : "ITEM-1", "itemData" : { "author" : [ { "family" : "Gentner", "given" : "D." } ], "container-title" : "Child Development", "id" : "ITEM-1", "issue" : "1", "issued" : { "date-parts" : [ [ "1988", "2" ] ] }, "note" : "\u003cm:note/\u003e", "page" : "47-59", "title" : "Metaphor as structure mapping: The relational shift", "type" : "article-journal", "volume" : "59" }, "uris" : [ "http://www.mendeley.com/documents/?uuid=b9bdd94b-4973-4fef-9c89-2debd127499d" ] }, { "id" : "ITEM-2", "itemData" : { "abstract" : "We explored how relational complexity and featural distraction, as varied in scene analogy problems, affect children's analogical reasoning performance. Results with 3- and 4-year-olds, 6- and 7-year-olds, 9- to 11-year-olds, and 13- and 14-year-olds indicate that when children can identify the critical structural relations in a scene analogy problem, development of their ability to reason analogically interacts with both relational complexity and featural distraction. Error patterns suggest that children are more likely to select a distracting object than to make a relational error for problems that present both possibilities. This tendency decreases with age, and older children make fewer errors overall. The results suggest that changes in analogical reasoning with age depend on the interplay among increases in relational knowledge, the capacity to integrate multiple relations, and inhibitory control over featural distraction.", "author" : [ { "family" : "Richland", "given" : "L.E." }, { "family" : "Morrison", "given" : "Robert G" }, { "family" : "Holyoak", "given" : "K.J." } ], "container-title" : "Journal of Experimental Child Psychology", "id" : "ITEM-2", "issue" : "3", "issued" : { "date-parts" : [ [ "2006", "7" ] ] }, "note" : "\u003cm:note/\u003e", "page" : "249-273", "title" : "Children's Development of Analogical Reasoning: Insights from Scene Analogy Problems", "type" : "article-journal", "volume" : "94" }, "uris" : [ "http://www.mendeley.com/documents/?uuid=bbc02efa-2411-4df4-8264-3dfe194d73bb" ] }, { "id" : "ITEM-3", "itemData" : { "author" : [ { "family" : "Holyoak", "given" : "K.J." }, { "family" : "Junn", "given" : "E.N." }, { "family" : "Billman", "given" : "D.O." } ], "container-title" : "Child Development", "id" : "ITEM-3", "issue" : "6", "issued" : { "date-parts" : [ [ "1984" ] ] }, "note" : "\u003cm:note/\u003e", "page" : "2042\u20132055", "title" : "Development of analogical problem-solving skill", "type" : "article-journal", "volume" : "55" }, "uris" : [ "http://www.mendeley.com/documents/?uuid=3b738465-4e69-48f9-b37e-bb31d3723c7a" ] }, { "id" : "ITEM-4", "itemData" : { "abstract" : "The aim of the current study was to investigate the performance of 6-, 8-, and 14-year-olds on an analogy-making task involving analogies in which there are competing perceptual and relational matches. We hypothesized that the selection of the common relational structure requires the inhibition of other salient features, in particular, perceptual matches. Using an A:B::C:D paradigm, we showed that children's performance in analogy-making tasks depends crucially on the nature of the distractors. Children chose more perceptual distractors having a common feature with C compared with A or B (Experiment 1). In addition, they were also influenced by unstructured random textures. When measuring reaction times instead of accurate responses, only the 8-year-olds' reaction times were significantly influenced by perceptual distractors. The 6-year-olds seemed to select the first match they noticed, and the 14-year-olds were not influenced (or much less influenced) by featural distractors. These results are compatible with an analogy-making account based on varying limitations in executive functioning at different ages.", "author" : [ { "family" : "Thibaut", "given" : "J-P" }, { "family" : "French", "given" : "R.M." }, { "family" : "Vezneva", "given" : "Milena" } ], "container-title" : "Journal of Experimental Child Psychology", "id" : "ITEM-4", "issue" : "1", "issued" : { "date-parts" : [ [ "2010", "5" ] ] }, "note" : "\u003cm:note/\u003e", "page" : "1-19", "title" : "The development of analogy making in children: cognitive load and executive functions.", "type" : "article-journal", "volume" : "106" }, "uris" : [ "http://www.mendeley.com/documents/?uuid=f978608e-621c-459f-ba13-4ceeee8eb746" ] }, { "id" : "ITEM-5", "itemData" : { "author" : [ { "family" : "Goswami", "given" : "Usha" }, { "family" : "Brown", "given" : "A.L." } ], "container-title" : "Cognition", "id" : "ITEM-5", "issue" : "1", "issued" : { "date-parts" : [ [ "1990" ] ] }, "note" : "\u003cm:note/\u003e", "page" : "69\u201395", "title" : "Melting chocolate and melting snowmen: Analogical reasoning and causal relations", "type" : "article-journal", "volume" : "35" }, "uris" : [ "http://www.mendeley.com/documents/?uuid=968d6a46-4506-4c17-ab37-e4e0177d428b" ] } ], "mendeley" : { "manualFormatting" : "(Gentner, 1988; Goswami \u0026 Brown, 1990; Holyoak, Junn, \u0026 Billman, 1984; Richland, Morrison, \u0026 Holyoak, 2006; Thibaut, French, \u0026 Vezneva, 2010a)", "previouslyFormattedCitation" : "(Gentner, 1988; Goswami \u0026#38; Brown, 1990; Holyoak, Junn, \u0026#38; Billman, 1984; Richland, Morrison, \u0026#38; Holyoak, 2006; Thibaut, French, \u0026#38; Vezneva, 2010a)" }, "properties" : { "noteIndex" : 0 }, "schema" : "https://github.com/citation-style-language/schema/raw/master/csl-citation.json" } </w:instrText>
      </w:r>
      <w:r w:rsidR="00DF1F98">
        <w:fldChar w:fldCharType="separate"/>
      </w:r>
      <w:r w:rsidR="00C9318C" w:rsidRPr="00C9318C">
        <w:rPr>
          <w:noProof/>
        </w:rPr>
        <w:t>(Gentner, 1988; Goswami &amp; Brown, 1990; Holyoak, Junn, &amp; Billman, 1984; Richland, Morrison, &amp; Holyoak, 2006; Thibaut, French, &amp; Vezneva, 2010a)</w:t>
      </w:r>
      <w:r w:rsidR="00DF1F98">
        <w:fldChar w:fldCharType="end"/>
      </w:r>
      <w:r w:rsidR="00797ADF">
        <w:t xml:space="preserve"> </w:t>
      </w:r>
      <w:r w:rsidR="00525987">
        <w:t xml:space="preserve">and </w:t>
      </w:r>
      <w:r>
        <w:t>several</w:t>
      </w:r>
      <w:r w:rsidR="00525987">
        <w:t xml:space="preserve"> models have </w:t>
      </w:r>
      <w:r>
        <w:t>been proposed</w:t>
      </w:r>
      <w:r w:rsidR="00525987">
        <w:t xml:space="preserve"> in order to explain these changes. They fall roughly into two subclasses: models that try to explain development of analogical reasoning by the increase of structured knowledge about the </w:t>
      </w:r>
      <w:r w:rsidR="00304B3B">
        <w:t xml:space="preserve">world </w:t>
      </w:r>
      <w:r w:rsidR="00DF1F98">
        <w:fldChar w:fldCharType="begin" w:fldLock="1"/>
      </w:r>
      <w:r w:rsidR="00272C3D">
        <w:instrText xml:space="preserve">ADDIN Mendeley Citation{dc39a13c-2cfc-4781-ad4f-aad9d5ac3047};{fab99842-ac91-44d6-8b6d-46df91b77164} CSL_CITATION  { "citationItems" : [ { "id" : "ITEM-1", "itemData" : { "abstract" : "In this article, I explore the role that analogical reasoning plays in the developing thought of the child. Analogical reasoning is defined as the process of identification and transfer of a relational structure from a known system (the source) to a less known system (the target). This process is more general than metaphor and can apply even between systems that belong to the same category. I argue that this process is fundamental to the acquisition and use of external representational systems such as oral and written language, arithmetic, and music and is thus an important aspect of cognitive development. The acquisition and use of external representational systems depend on the identification of correspondences between the representational system and the physical and social environment or on the identification of correspondences among different representational systems. The acquisition and use of such systems also depend on the transfer of information from one representational system to another and on the evaluation of the applicability of the information transferred for the system concerned.", "author" : [ { "family" : "Vosniadou", "given" : "Stella" } ], "container-title" : "Metaphor and Symbolic Activity", "id" : "ITEM-1", "issue" : "4", "issued" : { "date-parts" : [ [ "1995" ] ] }, "note" : "\u003cm:note/\u003e", "page" : "297-308", "title" : "Analogical reasoning in cognitive development", "type" : "article-journal", "volume" : "10" }, "uris" : [ "http://www.mendeley.com/documents/?uuid=dc39a13c-2cfc-4781-ad4f-aad9d5ac3047" ] }, { "id" : "ITEM-2", "itemData" : { "abstract" : "Analogical reasoning is a fundamental cognitive skill, involved in classification, learning, problem-solving and creative thinking, and should be a basic building block of cognitive development. However, for a long time researchers have believed that children are incapable of reasoning by analogy. This book argues that this is far from the case, and that analogical reasoning may be available very early in development. Recent research has shown that even 3-year-olds can solve analogies, and that infants can reason about relational similarity, which is the hallmark of analogy. The book traces the roots of the popular misconceptions about children's analogical abilities and argues that when children fail to use analogies, it is because they do not understand the relations underlying the analogy rather than because they are incapable of analogical reasoning. The author argues that young children spontaneously use analogies in learning, and that their analogies can sometimes lead them into misconceptions.In the \"real worlds\" of their classrooms, children use analogies when learning basic skills like reading, and even babies seem to use analogies to learn about the world around them.", "author" : [ { "family" : "Goswami", "given" : "Usha" } ], "id" : "ITEM-2", "issued" : { "date-parts" : [ [ "1992" ] ] }, "note" : "\u003cm:note/\u003e", "publisher" : "Lawrence Erlbaum Associates, Inc", "publisher-place" : "Hillsdale, NJ", "title" : "Analogical Reasoning in Children", "type" : "book" }, "uris" : [ "http://www.mendeley.com/documents/?uuid=fab99842-ac91-44d6-8b6d-46df91b77164" ] } ], "mendeley" : { "previouslyFormattedCitation" : "(Goswami, 1992; Vosniadou, 1995)" }, "properties" : { "noteIndex" : 0 }, "schema" : "https://github.com/citation-style-language/schema/raw/master/csl-citation.json" } </w:instrText>
      </w:r>
      <w:r w:rsidR="00DF1F98">
        <w:fldChar w:fldCharType="separate"/>
      </w:r>
      <w:r w:rsidR="00304B3B" w:rsidRPr="00304B3B">
        <w:rPr>
          <w:noProof/>
        </w:rPr>
        <w:t>(Goswami, 1992; Vosniadou, 1995)</w:t>
      </w:r>
      <w:r w:rsidR="00DF1F98">
        <w:fldChar w:fldCharType="end"/>
      </w:r>
      <w:r w:rsidR="00304B3B">
        <w:t xml:space="preserve"> </w:t>
      </w:r>
      <w:r w:rsidR="00525987">
        <w:t xml:space="preserve">and models that </w:t>
      </w:r>
      <w:r w:rsidR="00FC604A">
        <w:t xml:space="preserve">suggest that the key lies with the </w:t>
      </w:r>
      <w:r w:rsidR="00525987">
        <w:t xml:space="preserve">maturation of </w:t>
      </w:r>
      <w:r>
        <w:t>control processes</w:t>
      </w:r>
      <w:r w:rsidR="00FC604A">
        <w:t>,</w:t>
      </w:r>
      <w:r>
        <w:t xml:space="preserve"> such as working memory or executive functions</w:t>
      </w:r>
      <w:r w:rsidR="00304B3B">
        <w:t xml:space="preserve"> </w:t>
      </w:r>
      <w:r w:rsidR="00DF1F98">
        <w:fldChar w:fldCharType="begin" w:fldLock="1"/>
      </w:r>
      <w:r w:rsidR="00272C3D">
        <w:instrText xml:space="preserve">ADDIN Mendeley Citation{4271a40f-3197-44be-9b13-8b3459b0579e};{bbc02efa-2411-4df4-8264-3dfe194d73bb} CSL_CITATION  { "citationItems" : [ { "id" : "ITEM-1", "itemData" : { "abstract" : "Working memory limits are best defined in terms of the complexity of the relations that can be processed in parallel. Complexity is defined as the number of related dimensions or sources of variation. A binary relation has one argument and one source of variation; its argument can be instantiated in only one way at a time. A binary relation has two arguments, two sources of variation, and two instantiations, and so on. Dimensionality is related to the number of chunks, because both attributes on dimensions and chunks are independent units of information of arbitrary size. Studies of working memory limits suggest that there is a soft limit corresponding to the parallel processing of one quaternary relation. More complex concepts are processed by \"segmentation\" or \"conceptual chunking.\" In segmentation, tasks are broken into components that do not exceed processing capacity and can be processed serially. In conceptual chunking, representations are \"collapsed\" to reduce their dimensionality and hence their processing load, but at the cost of making some relational information inaccessible. Neural net models of relational representations show that relations with more arguments have a higher computational cost that coincides with experimental findings on higher processing loads in humans. Relational complexity is related to processing load in reasoning and sentence comprehension and can distinguish between the capacities of higher species. The complexity of relations processed by children increases with age. Implications for neural net models and theories of cognition and cognitive development are discussed.", "author" : [ { "family" : "Halford", "given" : "G.S." }, { "family" : "Wilson", "given" : "W H" }, { "family" : "Phillips", "given" : "S" } ], "container-title" : "The Behavioral and Brain Sciences", "id" : "ITEM-1", "issue" : "6", "issued" : { "date-parts" : [ [ "1998", "12" ] ] }, "note" : "\u003cm:note/\u003e", "page" : "803-64", "title" : "Processing capacity defined by relational complexity: implications for comparative, developmental, and cognitive psychology.", "type" : "article-journal", "volume" : "21" }, "uris" : [ "http://www.mendeley.com/documents/?uuid=4271a40f-3197-44be-9b13-8b3459b0579e" ] }, { "id" : "ITEM-2", "itemData" : { "abstract" : "We explored how relational complexity and featural distraction, as varied in scene analogy problems, affect children's analogical reasoning performance. Results with 3- and 4-year-olds, 6- and 7-year-olds, 9- to 11-year-olds, and 13- and 14-year-olds indicate that when children can identify the critical structural relations in a scene analogy problem, development of their ability to reason analogically interacts with both relational complexity and featural distraction. Error patterns suggest that children are more likely to select a distracting object than to make a relational error for problems that present both possibilities. This tendency decreases with age, and older children make fewer errors overall. The results suggest that changes in analogical reasoning with age depend on the interplay among increases in relational knowledge, the capacity to integrate multiple relations, and inhibitory control over featural distraction.", "author" : [ { "family" : "Richland", "given" : "L.E." }, { "family" : "Morrison", "given" : "Robert G" }, { "family" : "Holyoak", "given" : "K.J." } ], "container-title" : "Journal of Experimental Child Psychology", "id" : "ITEM-2", "issue" : "3", "issued" : { "date-parts" : [ [ "2006", "7" ] ] }, "note" : "\u003cm:note/\u003e", "page" : "249-273", "title" : "Children's Development of Analogical Reasoning: Insights from Scene Analogy Problems", "type" : "article-journal", "volume" : "94" }, "uris" : [ "http://www.mendeley.com/documents/?uuid=bbc02efa-2411-4df4-8264-3dfe194d73bb" ] } ], "mendeley" : { "previouslyFormattedCitation" : "(Halford, Wilson, \u0026#38; Phillips, 1998; Richland et al., 2006)" }, "properties" : { "noteIndex" : 0 }, "schema" : "https://github.com/citation-style-language/schema/raw/master/csl-citation.json" } </w:instrText>
      </w:r>
      <w:r w:rsidR="00DF1F98">
        <w:fldChar w:fldCharType="separate"/>
      </w:r>
      <w:r w:rsidR="00304B3B" w:rsidRPr="00304B3B">
        <w:rPr>
          <w:noProof/>
        </w:rPr>
        <w:t>(Halford, Wilson, &amp; Phillips, 1998; Richland et al., 2006</w:t>
      </w:r>
      <w:r>
        <w:rPr>
          <w:noProof/>
        </w:rPr>
        <w:t>; Thibaut, French, &amp; Vezneva, 2010a, 2010b</w:t>
      </w:r>
      <w:r w:rsidR="00304B3B" w:rsidRPr="00304B3B">
        <w:rPr>
          <w:noProof/>
        </w:rPr>
        <w:t>)</w:t>
      </w:r>
      <w:r w:rsidR="00DF1F98">
        <w:fldChar w:fldCharType="end"/>
      </w:r>
      <w:r w:rsidR="00304B3B">
        <w:t>.</w:t>
      </w:r>
    </w:p>
    <w:p w:rsidR="00624D4E" w:rsidRDefault="00DF1F98" w:rsidP="00624D4E">
      <w:r>
        <w:fldChar w:fldCharType="begin" w:fldLock="1"/>
      </w:r>
      <w:r w:rsidR="00272C3D">
        <w:instrText xml:space="preserve">ADDIN Mendeley Citation{f978608e-621c-459f-ba13-4ceeee8eb746};{e13b6282-749e-4ab9-9104-5f07f0d1fb6a};{7279ce39-522f-4b0e-8271-f3734ed6c710};{d99fc160-4978-4c82-b979-2abcc56bb2b4};{aac4d09d-bace-40f4-aa63-0da5669f1052};{bbc02efa-2411-4df4-8264-3dfe194d73bb} CSL_CITATION  { "citationItems" : [ { "id" : "ITEM-1", "itemData" : { "abstract" : "The aim of the current study was to investigate the performance of 6-, 8-, and 14-year-olds on an analogy-making task involving analogies in which there are competing perceptual and relational matches. We hypothesized that the selection of the common relational structure requires the inhibition of other salient features, in particular, perceptual matches. Using an A:B::C:D paradigm, we showed that children's performance in analogy-making tasks depends crucially on the nature of the distractors. Children chose more perceptual distractors having a common feature with C compared with A or B (Experiment 1). In addition, they were also influenced by unstructured random textures. When measuring reaction times instead of accurate responses, only the 8-year-olds' reaction times were significantly influenced by perceptual distractors. The 6-year-olds seemed to select the first match they noticed, and the 14-year-olds were not influenced (or much less influenced) by featural distractors. These results are compatible with an analogy-making account based on varying limitations in executive functioning at different ages.", "author" : [ { "family" : "Thibaut", "given" : "J-P" }, { "family" : "French", "given" : "R.M." }, { "family" : "Vezneva", "given" : "Milena" } ], "container-title" : "Journal of Experimental Child Psychology", "id" : "ITEM-1", "issue" : "1", "issued" : { "date-parts" : [ [ "2010", "5" ] ] }, "note" : "\u003cm:note/\u003e", "page" : "1-19", "title" : "The development of analogy making in children: cognitive load and executive functions.", "type" : "article-journal", "volume" : "106" }, "uris" : [ "http://www.mendeley.com/documents/?uuid=f978608e-621c-459f-ba13-4ceeee8eb746" ] }, { "id" : "ITEM-2", "itemData" : { "ISBN" : "9789545356605", "author" : [ { "family" : "Thibaut", "given" : "J-P" }, { "family" : "French", "given" : "R.M." }, { "family" : "Vezneva", "given" : "Milena" }, { "family" : "G\u00e9rard", "given" : "Yannick" }, { "family" : "Glady", "given" : "Yannick" } ], "container-title" : "European Perspectives on Cognitive Science", "editor" : [ { "family" : "Kokinov", "given" : "B." }, { "family" : "Karmiloff-Smith", "given" : "A." }, { "family" : "Nersessian", "given" : "N.J." } ], "id" : "ITEM-2", "issued" : { "date-parts" : [ [ "2011" ] ] }, "note" : "\u003cm:note/\u003e", "publisher" : "New Bulgarian University Press", "title" : "Semantic analogies by young children: testing the role of inhibition", "type" : "paper-conference" }, "uris" : [ "http://www.mendeley.com/documents/?uuid=e13b6282-749e-4ab9-9104-5f07f0d1fb6a" ] }, { "id" : "ITEM-3", "itemData" : { "abstract" : "The aim of the present study is to investigate the performance of children of different ages on an analogy-making task involving semantic analogies in which there are competing semantic matches. We suggest that this can best be studied in terms of developmental changes in executive functioning. We hypothesize that the selection of common relational structure requires the inhibition of other salient features, in particular semantically related matches. Our results show that children's performance in classic A: B:: C: D analogy-making tasks seems to depend crucially on the nature of the distractors and the association strength between both the A and B terms and the C and D terms. These results agree with an analogy-making account (Richland, Morrison, \u0026 Holyoak, 2006) based on different limitations in executive functioning at different ages.", "author" : [ { "family" : "Thibaut", "given" : "J-P" }, { "family" : "French", "given" : "R.M." }, { "family" : "Vezneva", "given" : "Milena" } ], "container-title" : "Psychonomic Bulletin \u0026 Review", "id" : "ITEM-3", "issue" : "4", "issued" : { "date-parts" : [ [ "2010", "8" ] ] }, "note" : "\u003cm:note/\u003e", "page" : "569-74", "title" : "Cognitive load and semantic analogies: Searching semantic space.", "type" : "article-journal", "volume" : "17" }, "uris" : [ "http://www.mendeley.com/documents/?uuid=7279ce39-522f-4b0e-8271-f3734ed6c710" ] }, { "id" : "ITEM-4", "itemData" : { "author" : [ { "family" : "Thibaut", "given" : "J-P" }, { "family" : "French", "given" : "R.M." }, { "family" : "Missault", "given" : "Ang\u00e9lique" }, { "family" : "G\u00e9rard", "given" : "Yannick" }, { "family" : "Glady", "given" : "Yannick" } ], "container-title" : "Proceedings of the Thirty-third Annual Meeting of the Cognitive Science Society", "id" : "ITEM-4", "issued" : { "date-parts" : [ [ "2011" ] ] }, "note" : "\u003cm:note/\u003e", "page" : "453\u2013458", "title" : "In the Eyes of the Beholder: What Eye-Tracking Reveals About Analogy-Making Strategies in Children and Adults", "type" : "paper-conference" }, "uris" : [ "http://www.mendeley.com/documents/?uuid=d99fc160-4978-4c82-b979-2abcc56bb2b4" ] }, { "id" : "ITEM-5", "itemData" : { "author" : [ { "family" : "Thibaut", "given" : "J-P" }, { "family" : "French", "given" : "R.M." }, { "family" : "Vezneva", "given" : "Milena" } ], "container-title" : "Proceedings of the Thirty-first Annual Cognitive Science Society Conference", "editor" : [ { "family" : "Taatgen", "given" : "Niels" }, { "family" : "van Rijn", "given" : "Hedderik" } ], "id" : "ITEM-5", "issued" : { "date-parts" : [ [ "2009" ] ] }, "note" : "\u003cm:note/\u003e", "page" : "1048-1053", "title" : "Cognitive Load and Analogy-making in Children : Explaining an Unexpected Interaction", "type" : "paper-conference" }, "uris" : [ "http://www.mendeley.com/documents/?uuid=aac4d09d-bace-40f4-aa63-0da5669f1052" ] }, { "id" : "ITEM-6", "itemData" : { "abstract" : "We explored how relational complexity and featural distraction, as varied in scene analogy problems, affect children's analogical reasoning performance. Results with 3- and 4-year-olds, 6- and 7-year-olds, 9- to 11-year-olds, and 13- and 14-year-olds indicate that when children can identify the critical structural relations in a scene analogy problem, development of their ability to reason analogically interacts with both relational complexity and featural distraction. Error patterns suggest that children are more likely to select a distracting object than to make a relational error for problems that present both possibilities. This tendency decreases with age, and older children make fewer errors overall. The results suggest that changes in analogical reasoning with age depend on the interplay among increases in relational knowledge, the capacity to integrate multiple relations, and inhibitory control over featural distraction.", "author" : [ { "family" : "Richland", "given" : "L.E." }, { "family" : "Morrison", "given" : "Robert G" }, { "family" : "Holyoak", "given" : "K.J." } ], "container-title" : "Journal of Experimental Child Psychology", "id" : "ITEM-6", "issue" : "3", "issued" : { "date-parts" : [ [ "2006", "7" ] ] }, "note" : "\u003cm:note/\u003e", "page" : "249-273", "title" : "Children's Development of Analogical Reasoning: Insights from Scene Analogy Problems", "type" : "article-journal", "volume" : "94" }, "uris" : [ "http://www.mendeley.com/documents/?uuid=bbc02efa-2411-4df4-8264-3dfe194d73bb" ] } ], "mendeley" : { "previouslyFormattedCitation" : "(Richland et al., 2006; Thibaut, French, \u0026#38; Vezneva, 2009, 2010a, 2010b; Thibaut, French, Missault, G\u00e9rard, \u0026#38; Glady, 2011; Thibaut, French, Vezneva, G\u00e9rard, \u0026#38; Glady, 2011)" }, "properties" : { "noteIndex" : 0 }, "schema" : "https://github.com/citation-style-language/schema/raw/master/csl-citation.json" } </w:instrText>
      </w:r>
      <w:r>
        <w:fldChar w:fldCharType="separate"/>
      </w:r>
      <w:r w:rsidR="00273503" w:rsidRPr="00273503">
        <w:rPr>
          <w:noProof/>
        </w:rPr>
        <w:t>Ri</w:t>
      </w:r>
      <w:r w:rsidR="006B79FB">
        <w:rPr>
          <w:noProof/>
        </w:rPr>
        <w:t>chland et al. (</w:t>
      </w:r>
      <w:r w:rsidR="00273503" w:rsidRPr="00273503">
        <w:rPr>
          <w:noProof/>
        </w:rPr>
        <w:t>2006</w:t>
      </w:r>
      <w:r w:rsidR="006B79FB">
        <w:rPr>
          <w:noProof/>
        </w:rPr>
        <w:t>),</w:t>
      </w:r>
      <w:r w:rsidR="00273503" w:rsidRPr="00273503">
        <w:rPr>
          <w:noProof/>
        </w:rPr>
        <w:t xml:space="preserve"> Thibaut, French, </w:t>
      </w:r>
      <w:r w:rsidR="00207BDA">
        <w:rPr>
          <w:noProof/>
        </w:rPr>
        <w:t>and</w:t>
      </w:r>
      <w:r w:rsidR="006B79FB">
        <w:rPr>
          <w:noProof/>
        </w:rPr>
        <w:t xml:space="preserve"> Vezneva (2010a, 2010b),</w:t>
      </w:r>
      <w:r w:rsidR="00207BDA">
        <w:rPr>
          <w:noProof/>
        </w:rPr>
        <w:t xml:space="preserve"> </w:t>
      </w:r>
      <w:r w:rsidR="00273503" w:rsidRPr="00273503">
        <w:rPr>
          <w:noProof/>
        </w:rPr>
        <w:t>Thibaut, French, Vezneva, G</w:t>
      </w:r>
      <w:r w:rsidR="00273503">
        <w:rPr>
          <w:noProof/>
        </w:rPr>
        <w:t>é</w:t>
      </w:r>
      <w:r w:rsidR="00273503" w:rsidRPr="00273503">
        <w:rPr>
          <w:noProof/>
        </w:rPr>
        <w:t xml:space="preserve">rard, </w:t>
      </w:r>
      <w:r w:rsidR="00207BDA">
        <w:rPr>
          <w:noProof/>
        </w:rPr>
        <w:t>and</w:t>
      </w:r>
      <w:r w:rsidR="006B79FB">
        <w:rPr>
          <w:noProof/>
        </w:rPr>
        <w:t xml:space="preserve"> Glady (</w:t>
      </w:r>
      <w:r w:rsidR="00273503" w:rsidRPr="00273503">
        <w:rPr>
          <w:noProof/>
        </w:rPr>
        <w:t>2011)</w:t>
      </w:r>
      <w:r>
        <w:fldChar w:fldCharType="end"/>
      </w:r>
      <w:r w:rsidR="00207BDA">
        <w:t xml:space="preserve"> posited that</w:t>
      </w:r>
      <w:r w:rsidR="00273503">
        <w:t xml:space="preserve"> w</w:t>
      </w:r>
      <w:r w:rsidR="00525987">
        <w:t>hile knowledge of relations</w:t>
      </w:r>
      <w:r w:rsidR="009D5BA6">
        <w:t xml:space="preserve"> is necessary</w:t>
      </w:r>
      <w:r w:rsidR="00525987">
        <w:t xml:space="preserve"> </w:t>
      </w:r>
      <w:r w:rsidR="00207BDA">
        <w:t xml:space="preserve">to </w:t>
      </w:r>
      <w:r w:rsidR="006B79FB">
        <w:t>do analogy making</w:t>
      </w:r>
      <w:r w:rsidR="00605895">
        <w:t xml:space="preserve">, </w:t>
      </w:r>
      <w:r w:rsidR="00273503">
        <w:t xml:space="preserve">executive functions </w:t>
      </w:r>
      <w:r w:rsidR="009D5BA6">
        <w:t>are also involved</w:t>
      </w:r>
      <w:r w:rsidR="006B79FB">
        <w:t xml:space="preserve"> in solving</w:t>
      </w:r>
      <w:r w:rsidR="00273503">
        <w:t xml:space="preserve"> analogical</w:t>
      </w:r>
      <w:r w:rsidR="0095236A">
        <w:t xml:space="preserve"> problems</w:t>
      </w:r>
      <w:r w:rsidR="008D676E">
        <w:t>.</w:t>
      </w:r>
      <w:r w:rsidR="008B01E3">
        <w:t xml:space="preserve"> </w:t>
      </w:r>
      <w:r w:rsidR="00624D4E">
        <w:t>Thibaut et al. (2010a) interpreted their results as showing</w:t>
      </w:r>
      <w:r w:rsidR="00624D4E" w:rsidRPr="00175B6D">
        <w:t xml:space="preserve"> that</w:t>
      </w:r>
      <w:r w:rsidR="00624D4E">
        <w:t xml:space="preserve"> younger children’s difficulties with </w:t>
      </w:r>
      <w:r w:rsidR="006B79FB">
        <w:t>analogy making arose because of</w:t>
      </w:r>
      <w:r w:rsidR="00624D4E">
        <w:t xml:space="preserve"> </w:t>
      </w:r>
      <w:r w:rsidR="006B79FB">
        <w:t>insufficiently developed executive functions,</w:t>
      </w:r>
      <w:r w:rsidR="00624D4E">
        <w:t xml:space="preserve"> specifically inhibition. </w:t>
      </w:r>
      <w:r w:rsidR="003A1296">
        <w:t>In their experiment they showed that analogies with a greater number of</w:t>
      </w:r>
      <w:r w:rsidR="003A1296" w:rsidRPr="00175B6D">
        <w:t xml:space="preserve"> </w:t>
      </w:r>
      <w:r w:rsidR="003A1296">
        <w:t xml:space="preserve">semantically </w:t>
      </w:r>
      <w:r w:rsidR="003A1296" w:rsidRPr="00175B6D">
        <w:t>related distractors</w:t>
      </w:r>
      <w:r w:rsidR="003A1296">
        <w:t xml:space="preserve"> were more difficult than analogies with less </w:t>
      </w:r>
      <w:proofErr w:type="gramStart"/>
      <w:r w:rsidR="003A1296">
        <w:t>distractors</w:t>
      </w:r>
      <w:proofErr w:type="gramEnd"/>
      <w:r w:rsidR="003A1296">
        <w:t xml:space="preserve">. It was hypothesized that younger children had </w:t>
      </w:r>
      <w:r w:rsidR="0026371C">
        <w:t xml:space="preserve">greater </w:t>
      </w:r>
      <w:r w:rsidR="0026371C">
        <w:lastRenderedPageBreak/>
        <w:t>difficulty</w:t>
      </w:r>
      <w:r w:rsidR="003A1296">
        <w:t xml:space="preserve"> inhibit</w:t>
      </w:r>
      <w:r w:rsidR="0026371C">
        <w:t>ing (and thus, ignoring</w:t>
      </w:r>
      <w:r w:rsidR="003A1296">
        <w:t xml:space="preserve">) many distractors than a single semantic distractor. </w:t>
      </w:r>
      <w:r w:rsidR="00624D4E">
        <w:t>In</w:t>
      </w:r>
      <w:r w:rsidR="003A1296">
        <w:t xml:space="preserve"> their experiment involving</w:t>
      </w:r>
      <w:r w:rsidR="00624D4E">
        <w:t xml:space="preserve"> A</w:t>
      </w:r>
      <w:proofErr w:type="gramStart"/>
      <w:r w:rsidR="00624D4E">
        <w:t>:B</w:t>
      </w:r>
      <w:proofErr w:type="gramEnd"/>
      <w:r w:rsidR="00624D4E">
        <w:t xml:space="preserve">::C: ? </w:t>
      </w:r>
      <w:proofErr w:type="gramStart"/>
      <w:r w:rsidR="003A1296">
        <w:t>analogies</w:t>
      </w:r>
      <w:proofErr w:type="gramEnd"/>
      <w:r w:rsidR="00624D4E">
        <w:t xml:space="preserve"> with four possible responses, they</w:t>
      </w:r>
      <w:r w:rsidR="00624D4E" w:rsidRPr="00175B6D">
        <w:t xml:space="preserve"> </w:t>
      </w:r>
      <w:r w:rsidR="003A1296">
        <w:t xml:space="preserve">also </w:t>
      </w:r>
      <w:r w:rsidR="00624D4E" w:rsidRPr="00175B6D">
        <w:t>compared weak and strong analogies</w:t>
      </w:r>
      <w:r w:rsidR="00624D4E">
        <w:t xml:space="preserve"> (i.e., analogies in which the items of the A-B and C-D pairs were weakly, or strongly, associated)</w:t>
      </w:r>
      <w:r w:rsidR="00624D4E" w:rsidRPr="00175B6D">
        <w:t xml:space="preserve">. </w:t>
      </w:r>
      <w:r w:rsidR="003A1296">
        <w:t>R</w:t>
      </w:r>
      <w:r w:rsidR="00624D4E" w:rsidRPr="00175B6D">
        <w:t>esults revealed a difference between weak and strong analogies</w:t>
      </w:r>
      <w:r w:rsidR="00624D4E">
        <w:t>,</w:t>
      </w:r>
      <w:r w:rsidR="00624D4E" w:rsidRPr="00175B6D">
        <w:t xml:space="preserve"> </w:t>
      </w:r>
      <w:r w:rsidR="00624D4E">
        <w:t xml:space="preserve">especially when the number of distractor items was high (i.e., three). </w:t>
      </w:r>
      <w:r w:rsidR="003A1296">
        <w:t xml:space="preserve">Importantly, the authors controlled </w:t>
      </w:r>
      <w:r w:rsidR="008B2D8B">
        <w:t xml:space="preserve">to ensure </w:t>
      </w:r>
      <w:r w:rsidR="003A1296">
        <w:t>that</w:t>
      </w:r>
      <w:r w:rsidR="008B2D8B">
        <w:t xml:space="preserve"> the</w:t>
      </w:r>
      <w:r w:rsidR="003A1296">
        <w:t xml:space="preserve"> children knew the semantic relations within the pair (i.e., the se</w:t>
      </w:r>
      <w:r w:rsidR="008B2D8B">
        <w:t xml:space="preserve">mantic relations between A and B, </w:t>
      </w:r>
      <w:r w:rsidR="003A1296">
        <w:t>and between C and D). Thus, children’s failure to map the A-B pair on the potential C-D target pair could not be explained by a lack of knowledge. The</w:t>
      </w:r>
      <w:r w:rsidR="008B2D8B">
        <w:t>y</w:t>
      </w:r>
      <w:r w:rsidR="003A1296">
        <w:t xml:space="preserve"> showed that</w:t>
      </w:r>
      <w:r w:rsidR="00624D4E">
        <w:t xml:space="preserve"> </w:t>
      </w:r>
      <w:r w:rsidR="00624D4E" w:rsidRPr="00175B6D">
        <w:t xml:space="preserve">strong analogies were </w:t>
      </w:r>
      <w:r w:rsidR="00624D4E">
        <w:t>largely</w:t>
      </w:r>
      <w:r w:rsidR="00624D4E" w:rsidRPr="00175B6D">
        <w:t xml:space="preserve"> </w:t>
      </w:r>
      <w:r w:rsidR="00624D4E">
        <w:t>un</w:t>
      </w:r>
      <w:r w:rsidR="00624D4E" w:rsidRPr="00175B6D">
        <w:t>affected by the number of distractors</w:t>
      </w:r>
      <w:r w:rsidR="0012632D">
        <w:t xml:space="preserve">. By contrast, </w:t>
      </w:r>
      <w:r w:rsidR="008B2D8B">
        <w:t>a greater number of</w:t>
      </w:r>
      <w:r w:rsidR="0012632D">
        <w:t xml:space="preserve"> distractors led to poorer performance in the case of weak analog</w:t>
      </w:r>
      <w:r w:rsidR="008B2D8B">
        <w:t>ies. T</w:t>
      </w:r>
      <w:r w:rsidR="0012632D">
        <w:t>he</w:t>
      </w:r>
      <w:r w:rsidR="008B2D8B">
        <w:t>y suggested</w:t>
      </w:r>
      <w:r w:rsidR="0012632D">
        <w:t xml:space="preserve"> that</w:t>
      </w:r>
      <w:r w:rsidR="001F7C15">
        <w:t xml:space="preserve"> for strongly associated A</w:t>
      </w:r>
      <w:r w:rsidR="00624D4E">
        <w:t>-B and C-D item</w:t>
      </w:r>
      <w:r w:rsidR="001F7C15">
        <w:t xml:space="preserve"> pairs, </w:t>
      </w:r>
      <w:r w:rsidR="00624D4E">
        <w:t>they were not interfered with</w:t>
      </w:r>
      <w:r w:rsidR="00624D4E" w:rsidRPr="00175B6D">
        <w:t xml:space="preserve"> by the sema</w:t>
      </w:r>
      <w:r w:rsidR="00624D4E">
        <w:t>ntic distractors. In contrast, when the problem involved weakly associated items, mapping</w:t>
      </w:r>
      <w:r w:rsidR="00624D4E" w:rsidRPr="00175B6D">
        <w:t xml:space="preserve"> </w:t>
      </w:r>
      <w:r w:rsidR="00624D4E">
        <w:t xml:space="preserve">the A-B pair onto the C-D pair </w:t>
      </w:r>
      <w:r w:rsidR="00624D4E" w:rsidRPr="00175B6D">
        <w:t>requires more than</w:t>
      </w:r>
      <w:r w:rsidR="00624D4E">
        <w:t xml:space="preserve"> simply accessing the obvious</w:t>
      </w:r>
      <w:r w:rsidR="00624D4E" w:rsidRPr="00175B6D">
        <w:t xml:space="preserve"> </w:t>
      </w:r>
      <w:r w:rsidR="00624D4E">
        <w:t>semantic dimensions of the items.</w:t>
      </w:r>
    </w:p>
    <w:p w:rsidR="00525987" w:rsidRDefault="0012632D" w:rsidP="0012632D">
      <w:pPr>
        <w:ind w:firstLine="142"/>
      </w:pPr>
      <w:r>
        <w:t>The authors characterized</w:t>
      </w:r>
      <w:r w:rsidR="00624D4E" w:rsidRPr="00175B6D">
        <w:t xml:space="preserve"> analog</w:t>
      </w:r>
      <w:r w:rsidR="00624D4E">
        <w:t xml:space="preserve">y-making </w:t>
      </w:r>
      <w:r>
        <w:t>as</w:t>
      </w:r>
      <w:r w:rsidR="00624D4E">
        <w:t xml:space="preserve"> a search through a </w:t>
      </w:r>
      <w:r w:rsidR="00624D4E" w:rsidRPr="00175B6D">
        <w:t xml:space="preserve">space of </w:t>
      </w:r>
      <w:r w:rsidR="00624D4E">
        <w:t xml:space="preserve">features and potential </w:t>
      </w:r>
      <w:r w:rsidR="00624D4E" w:rsidRPr="00175B6D">
        <w:t xml:space="preserve">relations. The number of relations holding between any A-B pair is potentially </w:t>
      </w:r>
      <w:r w:rsidR="00624D4E">
        <w:t>large</w:t>
      </w:r>
      <w:r w:rsidR="00624D4E" w:rsidRPr="00175B6D">
        <w:t xml:space="preserve"> because, de</w:t>
      </w:r>
      <w:r w:rsidR="00624D4E">
        <w:t xml:space="preserve">pending on the context, any number of different </w:t>
      </w:r>
      <w:r w:rsidR="00624D4E" w:rsidRPr="00175B6D">
        <w:t xml:space="preserve">relations might be relevant </w:t>
      </w:r>
      <w:r w:rsidR="00DF1F98">
        <w:fldChar w:fldCharType="begin" w:fldLock="1"/>
      </w:r>
      <w:r w:rsidR="00624D4E">
        <w:instrText xml:space="preserve">ADDIN Mendeley Citation{00ea25bd-3594-42e1-a028-3a247ef966d0};{c568dc3d-9700-4ae0-bab1-a35b143245bd};{e30aa9ca-81ba-41cf-a2fd-cd08def7253f};{c193939b-c3a9-4693-a0af-07a9c778475e};{33c22a3d-329f-42f1-bbc3-66894422d229};{230d42a2-6c28-41a6-bfa1-24a2841c5edb} CSL_CITATION  { "citationItems" : [ { "id" : "ITEM-1", "itemData" : { "author" : [ { "family" : "Hofstadter", "given" : "Douglas R." } ], "id" : "ITEM-1", "issued" : { "date-parts" : [ [ "1995" ] ] }, "note" : "\u003cm:note/\u003e", "publisher" : "Basic Books", "publisher-place" : "New York, NY", "title" : "Fluid Concepts \u0026 Creative Analogies: Computer Models of the Fundamental Mechanisms of Thought", "type" : "book" }, "uris" : [ "http://www.mendeley.com/documents/?uuid=00ea25bd-3594-42e1-a028-3a247ef966d0" ] }, { "id" : "ITEM-2", "itemData" : { "author" : [ { "family" : "Chalmers", "given" : "David J." }, { "family" : "French", "given" : "R.M." }, { "family" : "Hofstadter", "given" : "Douglas R." } ], "container-title" : "Journal of Experimental \u0026 Theoretical Artificial Intelligence", "id" : "ITEM-2", "issue" : "3", "issued" : { "date-parts" : [ [ "1992", "7" ] ] }, "note" : "\u003cm:note/\u003e", "page" : "185-211", "title" : "High-level perception, representation, and analogy: A critique of artificial intelligence methodology", "type" : "article-journal", "volume" : "4" }, "uris" : [ "http://www.mendeley.com/documents/?uuid=c568dc3d-9700-4ae0-bab1-a35b143245bd" ] }, { "id" : "ITEM-3", "itemData" : { "author" : [ { "family" : "Murphy", "given" : "G.L." }, { "family" : "Medin", "given" : "D.L." } ], "container-title" : "Psychological Review", "id" : "ITEM-3", "issue" : "3", "issued" : { "date-parts" : [ [ "1985" ] ] }, "note" : "\u003cm:note/\u003e", "page" : "289-316", "title" : "The role of theories in conceptual coherence.", "type" : "article-journal", "volume" : "92" }, "uris" : [ "http://www.mendeley.com/documents/?uuid=e30aa9ca-81ba-41cf-a2fd-cd08def7253f" ] }, { "id" : "ITEM-4", "itemData" : { "author" : [ { "family" : "Mitchell", "given" : "M" } ], "id" : "ITEM-4", "issued" : { "date-parts" : [ [ "1993" ] ] }, "note" : "\u003cm:note/\u003e", "publisher" : "The MIT Press", "publisher-place" : "Cambridge, MA", "title" : "Analogy-Making as Perception", "type" : "book" }, "uris" : [ "http://www.mendeley.com/documents/?uuid=c193939b-c3a9-4693-a0af-07a9c778475e" ] }, { "id" : "ITEM-5", "itemData" : { "author" : [ { "family" : "Thibaut", "given" : "J-P" } ], "container-title" : "L'Ann\u00e9e Psychologique", "id" : "ITEM-5", "issued" : { "date-parts" : [ [ "1997" ] ] }, "note" : "\u003cm:note/\u003e", "page" : "701-736", "title" : "Similarit\u00e9 et cat\u00e9gorisation", "type" : "article-journal", "volume" : "97" }, "uris" : [ "http://www.mendeley.com/documents/?uuid=33c22a3d-329f-42f1-bbc3-66894422d229" ] }, { "id" : "ITEM-6", "itemData" : { "author" : [ { "family" : "French", "given" : "R.M." } ], "id" : "ITEM-6", "issued" : { "date-parts" : [ [ "1995" ] ] }, "note" : "\u003cm:note/\u003e", "publisher" : "The MIT Press", "publisher-place" : "Cambridge, MA", "title" : "The Subtlety of Sameness: A Theory and Computer Model of Analogy-Making", "type" : "book" }, "uris" : [ "http://www.mendeley.com/documents/?uuid=230d42a2-6c28-41a6-bfa1-24a2841c5edb" ] } ], "mendeley" : { "manualFormatting" : "(Chalmers, French, \u0026 Hofstadter, 1992; French, 1995; Hofstadter, 1995; Mitchell, 1993; Murphy \u0026 Medin, 1985; Thibaut, 1997)", "previouslyFormattedCitation" : "(Chalmers, French, \u0026#38; Hofstadter, 1992; French, 1995; Hofstadter, 1995; Mitchell, 1993; Murphy \u0026#38; Medin, 1985; Thibaut, 1997)" }, "properties" : { "noteIndex" : 0 }, "schema" : "https://github.com/citation-style-language/schema/raw/master/csl-citation.json" } </w:instrText>
      </w:r>
      <w:r w:rsidR="00DF1F98">
        <w:fldChar w:fldCharType="separate"/>
      </w:r>
      <w:r w:rsidR="00624D4E" w:rsidRPr="00BA11B1">
        <w:rPr>
          <w:noProof/>
        </w:rPr>
        <w:t>(Chalmers, French, &amp; Hofstadter, 1992; French, 1995; Hofstadter, 1995; Mitchell,</w:t>
      </w:r>
      <w:r w:rsidR="00624D4E">
        <w:rPr>
          <w:noProof/>
        </w:rPr>
        <w:t xml:space="preserve"> 1993; Murphy &amp; Medin, 1985; </w:t>
      </w:r>
      <w:r w:rsidR="00624D4E" w:rsidRPr="00BA11B1">
        <w:rPr>
          <w:noProof/>
        </w:rPr>
        <w:t>Thibaut, 1997)</w:t>
      </w:r>
      <w:r w:rsidR="00DF1F98">
        <w:fldChar w:fldCharType="end"/>
      </w:r>
      <w:r w:rsidR="00624D4E">
        <w:t xml:space="preserve">. </w:t>
      </w:r>
      <w:r>
        <w:t>As mentioned above, the structure of the search space and the presence or absence of competing non-analogical solutions have an effect on the search, especially for young children, who have greater difficulty handling the cognitive load associated with a more elaborate search of the space of possible solutions.</w:t>
      </w:r>
    </w:p>
    <w:p w:rsidR="002549E5" w:rsidRDefault="00417A17" w:rsidP="00624D4E">
      <w:r>
        <w:t>The notion of</w:t>
      </w:r>
      <w:r w:rsidR="0012632D">
        <w:t xml:space="preserve"> “searching in a semantic space” was directly investigated in an </w:t>
      </w:r>
      <w:proofErr w:type="spellStart"/>
      <w:r w:rsidR="0012632D">
        <w:t>eyetracking</w:t>
      </w:r>
      <w:proofErr w:type="spellEnd"/>
      <w:r w:rsidR="0012632D">
        <w:t xml:space="preserve"> study </w:t>
      </w:r>
      <w:r w:rsidR="00586F48">
        <w:t xml:space="preserve">by </w:t>
      </w:r>
      <w:r w:rsidR="00525987">
        <w:t>Thibaut et al. (</w:t>
      </w:r>
      <w:r w:rsidR="00DD06E2">
        <w:t>2011</w:t>
      </w:r>
      <w:r w:rsidR="009D5BA6">
        <w:t>; Thibaut &amp; French, submitted</w:t>
      </w:r>
      <w:r w:rsidR="00525987">
        <w:t>)</w:t>
      </w:r>
      <w:r w:rsidR="00586F48">
        <w:t>. The authors started with the</w:t>
      </w:r>
      <w:r w:rsidR="00991255">
        <w:t xml:space="preserve"> idea that the search space in an analogy task</w:t>
      </w:r>
      <w:r w:rsidR="00586F48">
        <w:t xml:space="preserve"> is dynamically created as the result of comparisons between the items </w:t>
      </w:r>
      <w:r w:rsidR="002549E5">
        <w:t>that compose the analogy problem</w:t>
      </w:r>
      <w:r w:rsidR="00991255">
        <w:t xml:space="preserve"> and this</w:t>
      </w:r>
      <w:r w:rsidR="00586F48">
        <w:t xml:space="preserve"> requires the integration of the various sources of information that are available during the task. </w:t>
      </w:r>
      <w:r w:rsidR="00991255">
        <w:t>They used an eye-tracker because</w:t>
      </w:r>
      <w:r w:rsidR="002549E5">
        <w:t xml:space="preserve"> cognitive monitoring is difficult to assess with the sole performance measures</w:t>
      </w:r>
      <w:r>
        <w:t xml:space="preserve"> (i.e., error measures and reaction times)</w:t>
      </w:r>
      <w:r w:rsidR="002549E5">
        <w:t xml:space="preserve"> that are usually used in the literature (e.g., </w:t>
      </w:r>
      <w:proofErr w:type="spellStart"/>
      <w:r w:rsidR="002549E5">
        <w:t>Rattermann</w:t>
      </w:r>
      <w:proofErr w:type="spellEnd"/>
      <w:r w:rsidR="002549E5">
        <w:t xml:space="preserve"> &amp; </w:t>
      </w:r>
      <w:proofErr w:type="spellStart"/>
      <w:r w:rsidR="002549E5">
        <w:t>Gentner</w:t>
      </w:r>
      <w:proofErr w:type="spellEnd"/>
      <w:r w:rsidR="002549E5">
        <w:t xml:space="preserve">, 1998; Richland et al., 2006; Thibaut et al., 2010b). </w:t>
      </w:r>
      <w:r w:rsidR="002549E5" w:rsidRPr="0065268E">
        <w:t>Eye-tracking al</w:t>
      </w:r>
      <w:r w:rsidR="002549E5">
        <w:t>lowed</w:t>
      </w:r>
      <w:r w:rsidR="002549E5" w:rsidRPr="0065268E">
        <w:t xml:space="preserve"> </w:t>
      </w:r>
      <w:r w:rsidR="002549E5">
        <w:t>them</w:t>
      </w:r>
      <w:r w:rsidR="002549E5" w:rsidRPr="0065268E">
        <w:t xml:space="preserve"> </w:t>
      </w:r>
      <w:r w:rsidR="002549E5" w:rsidRPr="0065268E">
        <w:lastRenderedPageBreak/>
        <w:t xml:space="preserve">to study </w:t>
      </w:r>
      <w:r>
        <w:t>precisely</w:t>
      </w:r>
      <w:r w:rsidR="002549E5" w:rsidRPr="0065268E">
        <w:t xml:space="preserve"> how the space of potential solutions was explored by </w:t>
      </w:r>
      <w:r>
        <w:t xml:space="preserve">both </w:t>
      </w:r>
      <w:r w:rsidR="002549E5">
        <w:t>children and adults.</w:t>
      </w:r>
      <w:r w:rsidR="002549E5" w:rsidRPr="00246741">
        <w:t xml:space="preserve"> </w:t>
      </w:r>
      <w:r w:rsidR="002549E5">
        <w:t xml:space="preserve">The idea was to </w:t>
      </w:r>
      <w:r w:rsidR="0086632B">
        <w:t>study</w:t>
      </w:r>
      <w:r w:rsidR="002549E5" w:rsidRPr="00246741">
        <w:t xml:space="preserve"> what parts of the</w:t>
      </w:r>
      <w:r w:rsidR="002549E5" w:rsidRPr="0065268E">
        <w:t xml:space="preserve"> space were explored and exactly whe</w:t>
      </w:r>
      <w:r w:rsidR="002549E5">
        <w:t xml:space="preserve">n that exploration took place. </w:t>
      </w:r>
      <w:r w:rsidR="002549E5" w:rsidRPr="0065268E">
        <w:t xml:space="preserve">By manipulating various aspects of </w:t>
      </w:r>
      <w:r w:rsidR="002549E5">
        <w:t>analogical</w:t>
      </w:r>
      <w:r w:rsidR="002549E5" w:rsidRPr="0065268E">
        <w:t xml:space="preserve"> problem</w:t>
      </w:r>
      <w:r w:rsidR="002549E5">
        <w:t>s of the A</w:t>
      </w:r>
      <w:proofErr w:type="gramStart"/>
      <w:r w:rsidR="002549E5">
        <w:t>:B</w:t>
      </w:r>
      <w:proofErr w:type="gramEnd"/>
      <w:r w:rsidR="002549E5">
        <w:t>::C:D type</w:t>
      </w:r>
      <w:r w:rsidR="002549E5" w:rsidRPr="0065268E">
        <w:t xml:space="preserve">, eye-tracking </w:t>
      </w:r>
      <w:r w:rsidR="002549E5">
        <w:t>allowed them</w:t>
      </w:r>
      <w:r w:rsidR="002549E5" w:rsidRPr="0065268E">
        <w:t xml:space="preserve"> to probe the factors affecting the search of solution space.</w:t>
      </w:r>
      <w:r w:rsidR="008B01E3">
        <w:t xml:space="preserve"> </w:t>
      </w:r>
    </w:p>
    <w:p w:rsidR="00750540" w:rsidRDefault="00DD06E2" w:rsidP="00750540">
      <w:r>
        <w:t>They</w:t>
      </w:r>
      <w:r w:rsidR="00525987">
        <w:t xml:space="preserve"> found </w:t>
      </w:r>
      <w:r w:rsidR="002549E5">
        <w:t>key differences between</w:t>
      </w:r>
      <w:r w:rsidR="00525987">
        <w:t xml:space="preserve"> adults</w:t>
      </w:r>
      <w:r w:rsidR="00417A17">
        <w:t xml:space="preserve"> and children </w:t>
      </w:r>
      <w:r w:rsidR="002549E5">
        <w:t>in the temporal organization of the</w:t>
      </w:r>
      <w:r w:rsidR="00417A17">
        <w:t>ir respective</w:t>
      </w:r>
      <w:r w:rsidR="002549E5">
        <w:t xml:space="preserve"> search profiles. First, adults focused on the </w:t>
      </w:r>
      <w:r w:rsidR="00525987">
        <w:t xml:space="preserve">A and B </w:t>
      </w:r>
      <w:r w:rsidR="002549E5">
        <w:t xml:space="preserve">pair at the beginning of the trial, paying less or no attention </w:t>
      </w:r>
      <w:r w:rsidR="0086632B">
        <w:t xml:space="preserve">to C and </w:t>
      </w:r>
      <w:r w:rsidR="00417A17">
        <w:t xml:space="preserve">to </w:t>
      </w:r>
      <w:r w:rsidR="0086632B">
        <w:t xml:space="preserve">stimuli in the solution set. Later they </w:t>
      </w:r>
      <w:r w:rsidR="00417A17">
        <w:t>focused</w:t>
      </w:r>
      <w:r w:rsidR="0086632B">
        <w:t xml:space="preserve"> on C and the Target</w:t>
      </w:r>
      <w:r w:rsidR="00417A17">
        <w:t>,</w:t>
      </w:r>
      <w:r w:rsidR="0086632B">
        <w:t xml:space="preserve"> which they compared with the semantically related distractor. At the end of the trial, the Target was their sole focus of attention. By contrast, children organized their search around C which </w:t>
      </w:r>
      <w:r w:rsidR="00417A17">
        <w:t>they</w:t>
      </w:r>
      <w:r w:rsidR="0086632B">
        <w:t xml:space="preserve"> actively focused on during the entire trial. At the very beginning of the trial they paid more attention to C and B. The</w:t>
      </w:r>
      <w:r w:rsidR="00417A17">
        <w:t>y began looking at the Target</w:t>
      </w:r>
      <w:r w:rsidR="0086632B">
        <w:t xml:space="preserve"> and the semantic distractor earlier than in the adults’ case. Thus the main difference</w:t>
      </w:r>
      <w:r w:rsidR="00B15C3A">
        <w:t>s</w:t>
      </w:r>
      <w:r w:rsidR="0086632B">
        <w:t xml:space="preserve"> between</w:t>
      </w:r>
      <w:r w:rsidR="00750540">
        <w:t xml:space="preserve"> children and adults </w:t>
      </w:r>
      <w:r w:rsidR="00B15C3A">
        <w:t>were</w:t>
      </w:r>
      <w:r w:rsidR="00750540">
        <w:t xml:space="preserve"> that </w:t>
      </w:r>
      <w:r w:rsidR="00B15C3A">
        <w:t>children focused on B and C</w:t>
      </w:r>
      <w:r w:rsidR="00750540">
        <w:t xml:space="preserve"> at the beginning</w:t>
      </w:r>
      <w:r w:rsidR="00B15C3A">
        <w:t xml:space="preserve"> of a trial, compared to A and B for adults,</w:t>
      </w:r>
      <w:r w:rsidR="00750540">
        <w:t xml:space="preserve"> and that the Target and the semantic distractor were focused on earlier by children than</w:t>
      </w:r>
      <w:r w:rsidR="00B15C3A">
        <w:t xml:space="preserve"> by</w:t>
      </w:r>
      <w:r w:rsidR="00750540">
        <w:t xml:space="preserve"> adults.</w:t>
      </w:r>
      <w:r w:rsidR="008B01E3">
        <w:t xml:space="preserve"> </w:t>
      </w:r>
      <w:r w:rsidR="00750540">
        <w:t>The c</w:t>
      </w:r>
      <w:r w:rsidR="0009540D">
        <w:t>omparison between error trials and correct trials</w:t>
      </w:r>
      <w:r w:rsidR="00750540">
        <w:t xml:space="preserve"> in the case of children</w:t>
      </w:r>
      <w:r w:rsidR="0009540D">
        <w:t xml:space="preserve"> revealed that errors</w:t>
      </w:r>
      <w:r w:rsidR="00750540">
        <w:t xml:space="preserve"> were characterized by longer </w:t>
      </w:r>
      <w:r w:rsidR="00B15C3A">
        <w:t>looking times</w:t>
      </w:r>
      <w:r w:rsidR="00750540">
        <w:t xml:space="preserve"> on C </w:t>
      </w:r>
      <w:r w:rsidR="0009540D">
        <w:t xml:space="preserve">and shorter </w:t>
      </w:r>
      <w:r w:rsidR="00B15C3A">
        <w:t>looking times</w:t>
      </w:r>
      <w:r w:rsidR="00750540">
        <w:t xml:space="preserve"> on A</w:t>
      </w:r>
      <w:r w:rsidR="0009540D">
        <w:t xml:space="preserve">. </w:t>
      </w:r>
      <w:r w:rsidR="00750540">
        <w:t>Overall</w:t>
      </w:r>
      <w:r w:rsidR="0009540D">
        <w:t xml:space="preserve">, </w:t>
      </w:r>
      <w:r w:rsidR="00750540">
        <w:t>the results showed that</w:t>
      </w:r>
      <w:r w:rsidR="0009540D">
        <w:t xml:space="preserve"> children organized </w:t>
      </w:r>
      <w:r w:rsidR="00750540">
        <w:t xml:space="preserve">their search </w:t>
      </w:r>
      <w:r w:rsidR="0009540D">
        <w:t>around C</w:t>
      </w:r>
      <w:r w:rsidR="00750540">
        <w:t xml:space="preserve"> and paid less attention to A and B when necessary</w:t>
      </w:r>
      <w:r w:rsidR="0009540D">
        <w:t xml:space="preserve">. </w:t>
      </w:r>
    </w:p>
    <w:p w:rsidR="00BE12F9" w:rsidRDefault="00750540" w:rsidP="00BE12F9">
      <w:r>
        <w:t xml:space="preserve">This pattern of results suggests that one </w:t>
      </w:r>
      <w:r w:rsidR="0009540D">
        <w:t xml:space="preserve">reason children might fail </w:t>
      </w:r>
      <w:r w:rsidR="004F04D4">
        <w:t>in analogy-</w:t>
      </w:r>
      <w:r>
        <w:t>making</w:t>
      </w:r>
      <w:r w:rsidR="004F04D4">
        <w:t xml:space="preserve"> tasks</w:t>
      </w:r>
      <w:r>
        <w:t xml:space="preserve"> is that they </w:t>
      </w:r>
      <w:r w:rsidR="007C05BF">
        <w:t xml:space="preserve">do not pay sufficient attention to A and B or do not </w:t>
      </w:r>
      <w:r w:rsidR="00B353B9">
        <w:t xml:space="preserve">include </w:t>
      </w:r>
      <w:r w:rsidR="007C05BF">
        <w:t>them in their search. Recall that the task explicitly requires “find</w:t>
      </w:r>
      <w:r w:rsidR="00E65972">
        <w:t>ing</w:t>
      </w:r>
      <w:r w:rsidR="007C05BF">
        <w:t xml:space="preserve"> the </w:t>
      </w:r>
      <w:r w:rsidR="004F04D4">
        <w:t>item</w:t>
      </w:r>
      <w:r w:rsidR="007C05BF">
        <w:t xml:space="preserve"> that</w:t>
      </w:r>
      <w:r w:rsidR="004F04D4">
        <w:t xml:space="preserve"> goes with C”. </w:t>
      </w:r>
      <w:r w:rsidR="008501EC">
        <w:t xml:space="preserve">Thus, in order to successfully comply with the task, children have to </w:t>
      </w:r>
      <w:r w:rsidR="001921C7">
        <w:t xml:space="preserve">focus on </w:t>
      </w:r>
      <w:r w:rsidR="00B353B9">
        <w:t xml:space="preserve">stimuli </w:t>
      </w:r>
      <w:r w:rsidR="001921C7">
        <w:t>other than the ones</w:t>
      </w:r>
      <w:r w:rsidR="008501EC">
        <w:t xml:space="preserve"> </w:t>
      </w:r>
      <w:r w:rsidR="001921C7">
        <w:t>which are highlighted</w:t>
      </w:r>
      <w:r w:rsidR="008501EC">
        <w:t xml:space="preserve"> by the instructions, i.e</w:t>
      </w:r>
      <w:r w:rsidR="001921C7">
        <w:t>.</w:t>
      </w:r>
      <w:r w:rsidR="008501EC">
        <w:t xml:space="preserve"> </w:t>
      </w:r>
      <w:r w:rsidR="001921C7">
        <w:t xml:space="preserve">the </w:t>
      </w:r>
      <w:r w:rsidR="008501EC">
        <w:t xml:space="preserve">C </w:t>
      </w:r>
      <w:r w:rsidR="001921C7">
        <w:t xml:space="preserve">item </w:t>
      </w:r>
      <w:r w:rsidR="008501EC">
        <w:t>and the set of distractors</w:t>
      </w:r>
      <w:r w:rsidR="00B353B9">
        <w:t>. Specifically</w:t>
      </w:r>
      <w:r w:rsidR="001921C7">
        <w:t xml:space="preserve">, they have </w:t>
      </w:r>
      <w:r w:rsidR="008501EC">
        <w:t xml:space="preserve">to study A and B and </w:t>
      </w:r>
      <w:r w:rsidR="001921C7">
        <w:t>integrate</w:t>
      </w:r>
      <w:r w:rsidR="003B5B1A">
        <w:t xml:space="preserve"> information from these items in their search for the “one that goes with C”.</w:t>
      </w:r>
      <w:r w:rsidR="00B353B9">
        <w:t xml:space="preserve"> The</w:t>
      </w:r>
      <w:r w:rsidR="003B5B1A">
        <w:t xml:space="preserve"> executive function framework</w:t>
      </w:r>
      <w:r w:rsidR="00B353B9">
        <w:t xml:space="preserve"> predicts </w:t>
      </w:r>
      <w:r w:rsidR="003B5B1A">
        <w:t xml:space="preserve">that </w:t>
      </w:r>
      <w:r w:rsidR="007C05BF">
        <w:t xml:space="preserve">children might </w:t>
      </w:r>
      <w:r w:rsidR="004F04D4">
        <w:t>find it hard</w:t>
      </w:r>
      <w:r w:rsidR="007C05BF">
        <w:t xml:space="preserve"> to inhibit </w:t>
      </w:r>
      <w:r w:rsidR="00B353B9">
        <w:t>the search</w:t>
      </w:r>
      <w:r w:rsidR="003B5B1A">
        <w:t>-for-the-one-that-goes-with-C goal</w:t>
      </w:r>
      <w:r w:rsidR="007C05BF">
        <w:t xml:space="preserve"> </w:t>
      </w:r>
      <w:r w:rsidR="00BE12F9">
        <w:t xml:space="preserve">in order, first, to study A and B, </w:t>
      </w:r>
      <w:r w:rsidR="00B353B9">
        <w:t xml:space="preserve">and, </w:t>
      </w:r>
      <w:r w:rsidR="00BE12F9">
        <w:t>second to compare what they have</w:t>
      </w:r>
      <w:r w:rsidR="00AB7D57">
        <w:t xml:space="preserve"> discovered</w:t>
      </w:r>
      <w:r w:rsidR="00BE12F9">
        <w:t xml:space="preserve"> for this pair and </w:t>
      </w:r>
      <w:r w:rsidR="00AB7D57">
        <w:t xml:space="preserve">to </w:t>
      </w:r>
      <w:r w:rsidR="00BE12F9">
        <w:t>integrate it in their search for the Target item that goes with C.</w:t>
      </w:r>
    </w:p>
    <w:p w:rsidR="00BE12F9" w:rsidRDefault="001103A8" w:rsidP="00750540">
      <w:r>
        <w:t xml:space="preserve">This analysis led us to </w:t>
      </w:r>
      <w:r w:rsidR="00BE12F9">
        <w:t>the</w:t>
      </w:r>
      <w:r>
        <w:t xml:space="preserve"> central </w:t>
      </w:r>
      <w:r w:rsidR="00BE12F9">
        <w:t>prediction</w:t>
      </w:r>
      <w:r w:rsidR="00AB7D57">
        <w:t xml:space="preserve"> of t</w:t>
      </w:r>
      <w:r>
        <w:t xml:space="preserve">he present paper. </w:t>
      </w:r>
      <w:r w:rsidR="00D9115B">
        <w:t>We started with the general hypothesis that</w:t>
      </w:r>
      <w:r w:rsidR="00BE12F9">
        <w:t xml:space="preserve"> young children </w:t>
      </w:r>
      <w:r w:rsidR="00AB7D57">
        <w:t>find it hard</w:t>
      </w:r>
      <w:r w:rsidR="00BE12F9">
        <w:t xml:space="preserve"> to </w:t>
      </w:r>
      <w:r w:rsidR="00AB7D57">
        <w:t>follow</w:t>
      </w:r>
      <w:r w:rsidR="00BE12F9">
        <w:t xml:space="preserve"> the instructions, that is, to integrate A and B in their exploration of C and the solution set</w:t>
      </w:r>
      <w:r w:rsidR="00D9115B">
        <w:t>. In this context, if the way the analogy task is implemented forces them to study and interpret the A-B pair, then they should obtain better results than in the classical situation</w:t>
      </w:r>
      <w:r w:rsidR="00985129">
        <w:t xml:space="preserve"> in which</w:t>
      </w:r>
      <w:r w:rsidR="00D9115B">
        <w:t xml:space="preserve"> all the stimuli are introduced simultaneously.</w:t>
      </w:r>
    </w:p>
    <w:p w:rsidR="00CD31AC" w:rsidRDefault="00985129" w:rsidP="00750540">
      <w:r>
        <w:t>Thus</w:t>
      </w:r>
      <w:r w:rsidR="00D9115B">
        <w:t>, in</w:t>
      </w:r>
      <w:r w:rsidR="001921C7">
        <w:t xml:space="preserve"> the present experiment</w:t>
      </w:r>
      <w:r w:rsidR="00CD31AC">
        <w:t xml:space="preserve">, we compared two conditions, i.e., the Standard condition and </w:t>
      </w:r>
      <w:r w:rsidR="00C93070">
        <w:t>an</w:t>
      </w:r>
      <w:r w:rsidR="00CD31AC">
        <w:t xml:space="preserve"> A-B-first condition. In the latter condition, children first saw the A-B </w:t>
      </w:r>
      <w:r w:rsidR="00CD31AC">
        <w:lastRenderedPageBreak/>
        <w:t xml:space="preserve">pair alone and were asked to describe the relation holding between A and B before they were shown C and the solution set. We hypothesized that the A-B-first condition </w:t>
      </w:r>
      <w:r w:rsidR="00D43B87">
        <w:t xml:space="preserve">would force children to </w:t>
      </w:r>
      <w:r>
        <w:t>focus on</w:t>
      </w:r>
      <w:r w:rsidR="00D43B87">
        <w:t xml:space="preserve"> this pair which would help them to</w:t>
      </w:r>
      <w:r w:rsidR="008B01E3">
        <w:t xml:space="preserve"> </w:t>
      </w:r>
      <w:r w:rsidR="00D43B87">
        <w:t xml:space="preserve">integrate it in their search for the correct C-Target pair. </w:t>
      </w:r>
    </w:p>
    <w:p w:rsidR="00E532AD" w:rsidRDefault="00E532AD" w:rsidP="00624D4E"/>
    <w:p w:rsidR="00E65972" w:rsidRPr="00DD046E" w:rsidRDefault="00722600" w:rsidP="00E65972">
      <w:pPr>
        <w:ind w:firstLine="0"/>
      </w:pPr>
      <w:r>
        <w:rPr>
          <w:noProof/>
          <w:lang w:eastAsia="fr-FR"/>
        </w:rPr>
        <w:t xml:space="preserve"> </w:t>
      </w:r>
    </w:p>
    <w:p w:rsidR="00E65972" w:rsidRDefault="008501EC" w:rsidP="00E65972">
      <w:pPr>
        <w:pStyle w:val="Titre1"/>
      </w:pPr>
      <w:r>
        <w:t>Experiment</w:t>
      </w:r>
    </w:p>
    <w:p w:rsidR="00E65972" w:rsidRPr="00B648B5" w:rsidRDefault="00E65972" w:rsidP="00E65972">
      <w:pPr>
        <w:numPr>
          <w:ilvl w:val="0"/>
          <w:numId w:val="1"/>
        </w:numPr>
      </w:pPr>
      <w:r w:rsidRPr="00197185">
        <w:t xml:space="preserve">The </w:t>
      </w:r>
      <w:r w:rsidR="008501EC">
        <w:t>present</w:t>
      </w:r>
      <w:r w:rsidR="00722600">
        <w:t xml:space="preserve"> study more directly tested the influence of A</w:t>
      </w:r>
      <w:proofErr w:type="gramStart"/>
      <w:r w:rsidR="00722600">
        <w:t>:B</w:t>
      </w:r>
      <w:proofErr w:type="gramEnd"/>
      <w:r w:rsidR="00722600">
        <w:t xml:space="preserve"> in </w:t>
      </w:r>
      <w:r w:rsidR="00CB372A">
        <w:t>children’s analogy making. The reasoning was as follows. If children do not pay enough attention to A</w:t>
      </w:r>
      <w:proofErr w:type="gramStart"/>
      <w:r w:rsidR="00CB372A">
        <w:t>:B</w:t>
      </w:r>
      <w:proofErr w:type="gramEnd"/>
      <w:r w:rsidR="00CB372A">
        <w:t xml:space="preserve"> while making analogies, they should obtain better results with procedures requiring a preliminary treatment and interpretation of the A:B pair. </w:t>
      </w:r>
      <w:r w:rsidR="00D9115B">
        <w:t>C</w:t>
      </w:r>
      <w:r w:rsidRPr="00197185">
        <w:t xml:space="preserve">hildren </w:t>
      </w:r>
      <w:r w:rsidR="00CB372A">
        <w:t xml:space="preserve">were, first, presented the A-B pair alone. Then, they had to study it and </w:t>
      </w:r>
      <w:r w:rsidR="00A754FE">
        <w:t>explain</w:t>
      </w:r>
      <w:r w:rsidRPr="00197185">
        <w:t xml:space="preserve"> the </w:t>
      </w:r>
      <w:r w:rsidR="00CB372A">
        <w:t>semantic relation holding</w:t>
      </w:r>
      <w:r w:rsidRPr="00197185">
        <w:t xml:space="preserve"> between A and B,</w:t>
      </w:r>
      <w:r w:rsidR="00CB372A">
        <w:t xml:space="preserve"> </w:t>
      </w:r>
      <w:r w:rsidR="00A754FE" w:rsidRPr="00A754FE">
        <w:rPr>
          <w:i/>
        </w:rPr>
        <w:t>before</w:t>
      </w:r>
      <w:r w:rsidR="00A754FE">
        <w:t xml:space="preserve"> they </w:t>
      </w:r>
      <w:r w:rsidRPr="00A754FE">
        <w:t>were</w:t>
      </w:r>
      <w:r w:rsidR="00A754FE">
        <w:t xml:space="preserve"> presented with the other pictures. We</w:t>
      </w:r>
      <w:r w:rsidRPr="00197185">
        <w:t xml:space="preserve"> predict</w:t>
      </w:r>
      <w:r w:rsidR="00A754FE">
        <w:t xml:space="preserve">ed that, in this condition, </w:t>
      </w:r>
      <w:r w:rsidRPr="00197185">
        <w:t xml:space="preserve">children would have </w:t>
      </w:r>
      <w:r w:rsidR="00A754FE">
        <w:t>higher</w:t>
      </w:r>
      <w:r w:rsidRPr="00197185">
        <w:t xml:space="preserve"> scores than children </w:t>
      </w:r>
      <w:r w:rsidR="00A754FE">
        <w:t xml:space="preserve">that would see all the stimuli composing a problem simultaneously. Indeed, as suggested by </w:t>
      </w:r>
      <w:r w:rsidR="00DF1F98">
        <w:fldChar w:fldCharType="begin" w:fldLock="1"/>
      </w:r>
      <w:r w:rsidR="00A754FE">
        <w:instrText xml:space="preserve">ADDIN Mendeley Citation{d99fc160-4978-4c82-b979-2abcc56bb2b4} CSL_CITATION  { "citationItems" : [ { "id" : "ITEM-1", "itemData" : { "author" : [ { "family" : "Thibaut", "given" : "J-P" }, { "family" : "French", "given" : "R.M." }, { "family" : "Missault", "given" : "Ang\u00e9lique" }, { "family" : "G\u00e9rard", "given" : "Yannick" }, { "family" : "Glady", "given" : "Yannick" } ], "container-title" : "Proceedings of the Thirty-third Annual Meeting of the Cognitive Science Society", "id" : "ITEM-1", "issued" : { "date-parts" : [ [ "2011" ] ] }, "note" : "\u003cm:note/\u003e", "page" : "453\u2013458", "title" : "In the Eyes of the Beholder: What Eye-Tracking Reveals About Analogy-Making Strategies in Children and Adults", "type" : "paper-conference" }, "uris" : [ "http://www.mendeley.com/documents/?uuid=d99fc160-4978-4c82-b979-2abcc56bb2b4" ] } ], "mendeley" : { "manualFormatting" : "(Thibaut, French, Missault, et al., 2011)", "previouslyFormattedCitation" : "(Thibaut, French, Missault, et al., 2011)" }, "properties" : { "noteIndex" : 0 }, "schema" : "https://github.com/citation-style-language/schema/raw/master/csl-citation.json" } </w:instrText>
      </w:r>
      <w:r w:rsidR="00DF1F98">
        <w:fldChar w:fldCharType="separate"/>
      </w:r>
      <w:r w:rsidR="00A754FE" w:rsidRPr="00DD06E2">
        <w:rPr>
          <w:noProof/>
        </w:rPr>
        <w:t xml:space="preserve">Thibaut, et al., </w:t>
      </w:r>
      <w:r w:rsidR="00A754FE">
        <w:rPr>
          <w:noProof/>
        </w:rPr>
        <w:t>(</w:t>
      </w:r>
      <w:r w:rsidR="00A754FE" w:rsidRPr="00DD06E2">
        <w:rPr>
          <w:noProof/>
        </w:rPr>
        <w:t>2011)</w:t>
      </w:r>
      <w:r w:rsidR="00DF1F98">
        <w:fldChar w:fldCharType="end"/>
      </w:r>
      <w:r w:rsidR="00A754FE">
        <w:t>, young children</w:t>
      </w:r>
      <w:r w:rsidR="009624F1">
        <w:t xml:space="preserve"> have </w:t>
      </w:r>
      <w:r w:rsidR="00A754FE">
        <w:t>difficult</w:t>
      </w:r>
      <w:r w:rsidR="009624F1">
        <w:t>ies</w:t>
      </w:r>
      <w:r w:rsidR="00272354">
        <w:t xml:space="preserve"> not looking at</w:t>
      </w:r>
      <w:r w:rsidR="00A754FE">
        <w:t xml:space="preserve"> C and the solution set rather </w:t>
      </w:r>
      <w:r w:rsidR="009624F1">
        <w:t>than</w:t>
      </w:r>
      <w:r w:rsidR="00A754FE">
        <w:t xml:space="preserve"> </w:t>
      </w:r>
      <w:r w:rsidR="00272354">
        <w:t>at</w:t>
      </w:r>
      <w:r w:rsidR="00A754FE">
        <w:t xml:space="preserve"> </w:t>
      </w:r>
      <w:r w:rsidRPr="00197185">
        <w:t>A and B</w:t>
      </w:r>
      <w:r w:rsidR="00A754FE">
        <w:t>. In a similar vein, Thibaut and French (2011) showed that a distinctive feature of errors, compared to correct trials, is an imbalance between A and C in favor of C</w:t>
      </w:r>
      <w:r>
        <w:t xml:space="preserve">. </w:t>
      </w:r>
    </w:p>
    <w:p w:rsidR="00E65972" w:rsidRPr="00DD046E" w:rsidRDefault="00E65972" w:rsidP="00E65972">
      <w:pPr>
        <w:pStyle w:val="Titre2"/>
      </w:pPr>
      <w:r>
        <w:t>Methods</w:t>
      </w:r>
    </w:p>
    <w:p w:rsidR="00E65972" w:rsidRDefault="00E65972" w:rsidP="00E65972">
      <w:pPr>
        <w:pStyle w:val="Titre3"/>
      </w:pPr>
      <w:r>
        <w:t>Participants</w:t>
      </w:r>
    </w:p>
    <w:p w:rsidR="00E65972" w:rsidRDefault="00E65972" w:rsidP="00E65972">
      <w:pPr>
        <w:ind w:firstLine="0"/>
      </w:pPr>
      <w:r>
        <w:t xml:space="preserve">Subjects were </w:t>
      </w:r>
      <w:r w:rsidRPr="00981FE5">
        <w:t>42 5-</w:t>
      </w:r>
      <w:r>
        <w:t xml:space="preserve">year-old preschool children (M </w:t>
      </w:r>
      <w:r w:rsidRPr="009A1300">
        <w:rPr>
          <w:color w:val="000000"/>
        </w:rPr>
        <w:t>= 67.1 months</w:t>
      </w:r>
      <w:r w:rsidR="00D9115B">
        <w:rPr>
          <w:color w:val="000000"/>
        </w:rPr>
        <w:t>; range, 57 to 77 months</w:t>
      </w:r>
      <w:r w:rsidRPr="009A1300">
        <w:rPr>
          <w:color w:val="000000"/>
        </w:rPr>
        <w:t>). Their participation to the experiment</w:t>
      </w:r>
      <w:r>
        <w:t xml:space="preserve"> was submitted to informed consent of their parents. </w:t>
      </w:r>
    </w:p>
    <w:p w:rsidR="00E65972" w:rsidRDefault="00E65972" w:rsidP="00E65972">
      <w:r>
        <w:t xml:space="preserve">The subjects were equally divided into two groups: Standard Analogies group (N </w:t>
      </w:r>
      <w:r w:rsidRPr="00981FE5">
        <w:t>= 21</w:t>
      </w:r>
      <w:r>
        <w:t>; M = 67.4</w:t>
      </w:r>
      <w:r w:rsidR="00D9115B">
        <w:t xml:space="preserve"> months; range, 56-75</w:t>
      </w:r>
      <w:r w:rsidR="00D9115B">
        <w:rPr>
          <w:color w:val="000000"/>
        </w:rPr>
        <w:t xml:space="preserve"> months</w:t>
      </w:r>
      <w:r>
        <w:t xml:space="preserve">) and </w:t>
      </w:r>
      <w:r w:rsidR="0092710B">
        <w:t>A</w:t>
      </w:r>
      <w:proofErr w:type="gramStart"/>
      <w:r w:rsidR="0092710B">
        <w:t>:B</w:t>
      </w:r>
      <w:proofErr w:type="gramEnd"/>
      <w:r w:rsidR="0092710B">
        <w:t>-first</w:t>
      </w:r>
      <w:r>
        <w:t xml:space="preserve"> group (N </w:t>
      </w:r>
      <w:r w:rsidRPr="00981FE5">
        <w:t>= 21</w:t>
      </w:r>
      <w:r>
        <w:t xml:space="preserve">; M </w:t>
      </w:r>
      <w:r w:rsidRPr="009A1300">
        <w:rPr>
          <w:color w:val="000000"/>
        </w:rPr>
        <w:t>= 66.8 months</w:t>
      </w:r>
      <w:r w:rsidR="00D9115B">
        <w:rPr>
          <w:color w:val="000000"/>
        </w:rPr>
        <w:t>; range, 59-77 months</w:t>
      </w:r>
      <w:r>
        <w:t xml:space="preserve">). </w:t>
      </w:r>
    </w:p>
    <w:p w:rsidR="00E65972" w:rsidRDefault="00E65972" w:rsidP="00E65972"/>
    <w:p w:rsidR="00E65972" w:rsidRDefault="00E65972" w:rsidP="00E65972">
      <w:pPr>
        <w:pStyle w:val="Titre3"/>
      </w:pPr>
      <w:r>
        <w:t>Materials</w:t>
      </w:r>
    </w:p>
    <w:p w:rsidR="00E65972" w:rsidRDefault="00E65972" w:rsidP="00E65972">
      <w:r>
        <w:t>The ex</w:t>
      </w:r>
      <w:r w:rsidR="009624F1">
        <w:t xml:space="preserve">periment consisted of 14 trials, with </w:t>
      </w:r>
      <w:r>
        <w:t xml:space="preserve">2 </w:t>
      </w:r>
      <w:r w:rsidR="009624F1">
        <w:t>training</w:t>
      </w:r>
      <w:r>
        <w:t xml:space="preserve"> trials and 12 experiment</w:t>
      </w:r>
      <w:r w:rsidR="009624F1">
        <w:t>al</w:t>
      </w:r>
      <w:r>
        <w:t xml:space="preserve"> trials</w:t>
      </w:r>
      <w:r w:rsidR="00C92A14">
        <w:t xml:space="preserve"> (See Appendix for the list of trials)</w:t>
      </w:r>
      <w:r>
        <w:t xml:space="preserve">. </w:t>
      </w:r>
      <w:r w:rsidR="009624F1">
        <w:t>Analogies were of the</w:t>
      </w:r>
      <w:r>
        <w:t xml:space="preserve"> A</w:t>
      </w:r>
      <w:proofErr w:type="gramStart"/>
      <w:r>
        <w:t>:B</w:t>
      </w:r>
      <w:proofErr w:type="gramEnd"/>
      <w:r>
        <w:t xml:space="preserve">::C:? </w:t>
      </w:r>
      <w:proofErr w:type="gramStart"/>
      <w:r>
        <w:t>format</w:t>
      </w:r>
      <w:proofErr w:type="gramEnd"/>
      <w:r>
        <w:t xml:space="preserve"> </w:t>
      </w:r>
      <w:r w:rsidR="009624F1">
        <w:t>composed of</w:t>
      </w:r>
      <w:r>
        <w:t xml:space="preserve"> 7 items (black and white drawings; </w:t>
      </w:r>
      <w:r w:rsidRPr="009624F1">
        <w:t>see Figure 1</w:t>
      </w:r>
      <w:r>
        <w:t xml:space="preserve">). The problem </w:t>
      </w:r>
      <w:r w:rsidR="00272354">
        <w:t>consisted of</w:t>
      </w:r>
      <w:r>
        <w:t xml:space="preserve"> </w:t>
      </w:r>
      <w:r w:rsidR="00002064">
        <w:t>the</w:t>
      </w:r>
      <w:r>
        <w:t xml:space="preserve"> A</w:t>
      </w:r>
      <w:proofErr w:type="gramStart"/>
      <w:r>
        <w:t>:B</w:t>
      </w:r>
      <w:proofErr w:type="gramEnd"/>
      <w:r>
        <w:t xml:space="preserve"> pair (the source), </w:t>
      </w:r>
      <w:r w:rsidR="00002064">
        <w:t>the</w:t>
      </w:r>
      <w:r>
        <w:t xml:space="preserve"> C item (the target), and an empty square. The </w:t>
      </w:r>
      <w:r w:rsidR="00002064">
        <w:t>solution set was composed of</w:t>
      </w:r>
      <w:r>
        <w:t xml:space="preserve"> four </w:t>
      </w:r>
      <w:r w:rsidR="00002064">
        <w:t>stimuli</w:t>
      </w:r>
      <w:r>
        <w:t xml:space="preserve">: the analogical answer, a </w:t>
      </w:r>
      <w:r w:rsidR="00F07FAB">
        <w:t>distractor</w:t>
      </w:r>
      <w:r>
        <w:t xml:space="preserve"> that was </w:t>
      </w:r>
      <w:r w:rsidR="00002064">
        <w:t xml:space="preserve">semantically related to the C </w:t>
      </w:r>
      <w:proofErr w:type="gramStart"/>
      <w:r w:rsidR="00002064">
        <w:t>item</w:t>
      </w:r>
      <w:r>
        <w:t>,</w:t>
      </w:r>
      <w:proofErr w:type="gramEnd"/>
      <w:r>
        <w:t xml:space="preserve"> and 2 items that were not</w:t>
      </w:r>
      <w:r w:rsidR="00002064">
        <w:t xml:space="preserve"> semantically</w:t>
      </w:r>
      <w:r>
        <w:t xml:space="preserve"> related to C. Positions of the different alternatives were counterbalanced.</w:t>
      </w:r>
    </w:p>
    <w:p w:rsidR="00002064" w:rsidRDefault="00002064" w:rsidP="00002064">
      <w:r>
        <w:t xml:space="preserve">The trials were presented to the children on a touch screen controlled by an E-Prime® program used to run the experiment. </w:t>
      </w:r>
    </w:p>
    <w:p w:rsidR="00002064" w:rsidRPr="00BC522F" w:rsidRDefault="00002064" w:rsidP="00002064">
      <w:pPr>
        <w:ind w:firstLine="0"/>
      </w:pPr>
    </w:p>
    <w:p w:rsidR="00002064" w:rsidRDefault="00002064" w:rsidP="00002064">
      <w:pPr>
        <w:pStyle w:val="Titre3"/>
      </w:pPr>
      <w:r>
        <w:t>Procedure</w:t>
      </w:r>
    </w:p>
    <w:p w:rsidR="00002064" w:rsidRDefault="00002064" w:rsidP="00002064">
      <w:r>
        <w:t>Children were individually tested in their school</w:t>
      </w:r>
      <w:r w:rsidR="001651A4">
        <w:t>,</w:t>
      </w:r>
      <w:r>
        <w:t xml:space="preserve"> in a quiet room. </w:t>
      </w:r>
    </w:p>
    <w:p w:rsidR="00002064" w:rsidRDefault="0092710B" w:rsidP="00002064">
      <w:r>
        <w:lastRenderedPageBreak/>
        <w:t>First, participants’ knowledge of the stimuli used in the experiment</w:t>
      </w:r>
      <w:r w:rsidR="001651A4">
        <w:t xml:space="preserve"> </w:t>
      </w:r>
      <w:r>
        <w:t>was</w:t>
      </w:r>
      <w:r w:rsidR="001651A4">
        <w:t xml:space="preserve"> </w:t>
      </w:r>
      <w:r>
        <w:t>assessed</w:t>
      </w:r>
      <w:r w:rsidR="001651A4">
        <w:t xml:space="preserve">. </w:t>
      </w:r>
      <w:r>
        <w:t>Each stimulus was introduced alone and participants</w:t>
      </w:r>
      <w:r w:rsidR="001651A4">
        <w:t xml:space="preserve"> were asked to name </w:t>
      </w:r>
      <w:r>
        <w:t>it</w:t>
      </w:r>
      <w:r w:rsidR="001651A4">
        <w:t xml:space="preserve"> or, </w:t>
      </w:r>
      <w:r>
        <w:t>when they did not know it</w:t>
      </w:r>
      <w:r w:rsidR="001651A4">
        <w:t xml:space="preserve">, to describe </w:t>
      </w:r>
      <w:r>
        <w:t>its function or a context in which</w:t>
      </w:r>
      <w:r w:rsidR="001651A4">
        <w:t xml:space="preserve"> it could be found</w:t>
      </w:r>
      <w:proofErr w:type="gramStart"/>
      <w:r w:rsidR="001651A4">
        <w:t>.</w:t>
      </w:r>
      <w:r w:rsidR="00002064">
        <w:t>.</w:t>
      </w:r>
      <w:proofErr w:type="gramEnd"/>
      <w:r w:rsidR="00002064">
        <w:t xml:space="preserve"> Children recognized </w:t>
      </w:r>
      <w:r w:rsidR="00002064" w:rsidRPr="00DD1138">
        <w:rPr>
          <w:color w:val="000000"/>
        </w:rPr>
        <w:t>98%</w:t>
      </w:r>
      <w:r w:rsidR="00002064">
        <w:t xml:space="preserve"> of the items correctly.</w:t>
      </w:r>
      <w:r w:rsidR="00002064" w:rsidRPr="00BC522F">
        <w:t xml:space="preserve"> </w:t>
      </w:r>
      <w:r w:rsidR="0025249B">
        <w:t>The</w:t>
      </w:r>
      <w:r w:rsidR="00640E77">
        <w:t xml:space="preserve"> </w:t>
      </w:r>
      <w:r w:rsidR="0025249B">
        <w:t xml:space="preserve">analogy </w:t>
      </w:r>
      <w:r w:rsidR="00640E77">
        <w:t>task</w:t>
      </w:r>
      <w:r w:rsidR="0025249B">
        <w:t xml:space="preserve"> followed</w:t>
      </w:r>
      <w:r w:rsidR="00640E77">
        <w:t>.</w:t>
      </w:r>
    </w:p>
    <w:p w:rsidR="0092710B" w:rsidRPr="00BC522F" w:rsidRDefault="0092710B" w:rsidP="0092710B">
      <w:r>
        <w:t xml:space="preserve">The Standard Analogy group was shown </w:t>
      </w:r>
      <w:r w:rsidR="00FB5823">
        <w:t>all</w:t>
      </w:r>
      <w:r>
        <w:t xml:space="preserve"> 7 items defining a problem simultaneously. </w:t>
      </w:r>
      <w:r w:rsidR="00992AC9">
        <w:t>In</w:t>
      </w:r>
      <w:r>
        <w:t xml:space="preserve"> the </w:t>
      </w:r>
      <w:r w:rsidR="00992AC9">
        <w:t>first practice trial</w:t>
      </w:r>
      <w:r>
        <w:t xml:space="preserve">, </w:t>
      </w:r>
      <w:r w:rsidR="00FB5823">
        <w:t xml:space="preserve">the task was explained to </w:t>
      </w:r>
      <w:r>
        <w:t>children belonging to the Standard Analogy group as follows: “Let me explain how it works. At first, you have to find why these two pictures [showing A and B] go well together. So, why do you think [A] goes with [B]? OK! You see this one [showing C]</w:t>
      </w:r>
      <w:r w:rsidR="00FB5823">
        <w:t>?</w:t>
      </w:r>
      <w:r>
        <w:t xml:space="preserve"> </w:t>
      </w:r>
      <w:r w:rsidR="00FB5823">
        <w:t>I</w:t>
      </w:r>
      <w:r>
        <w:t xml:space="preserve">t is alone. What you have to do is to find one picture in these four images [showing the four answer options] that goes well with this one [C] in the same way as this one [B] goes with [A] so the two pairs of pictures go together for the same reason. Which picture goes up there [showing the empty slot] with [C] like [B] with [A]? </w:t>
      </w:r>
      <w:r w:rsidR="00992AC9">
        <w:t xml:space="preserve">The child gave an answer and justified his/her choice. Then, the experimenter rephrased the entire trial, explaining and emphasizing </w:t>
      </w:r>
      <w:r w:rsidR="005359C9">
        <w:t xml:space="preserve">why “A and B” and “C and D” go together for the same reason. </w:t>
      </w:r>
      <w:r>
        <w:t>During the second practice trial, they were asked to do the same. When children did</w:t>
      </w:r>
      <w:r w:rsidR="00D559BE">
        <w:t xml:space="preserve"> not</w:t>
      </w:r>
      <w:r>
        <w:t xml:space="preserve"> attend to the A</w:t>
      </w:r>
      <w:proofErr w:type="gramStart"/>
      <w:r>
        <w:t>:B</w:t>
      </w:r>
      <w:proofErr w:type="gramEnd"/>
      <w:r>
        <w:t xml:space="preserve"> pair while explaining their choice, they were asked to do so, and care was taken to ensure that they understood the instructions during the training trials. </w:t>
      </w:r>
      <w:r w:rsidR="005359C9">
        <w:t xml:space="preserve">In the experimental phase, </w:t>
      </w:r>
      <w:r>
        <w:t xml:space="preserve">they were asked to do the same thing </w:t>
      </w:r>
      <w:r w:rsidR="00D559BE">
        <w:t>that was explained to them</w:t>
      </w:r>
      <w:r>
        <w:t xml:space="preserve"> during the experiment trials and to justify their answer afterward. </w:t>
      </w:r>
      <w:r w:rsidR="005359C9">
        <w:t xml:space="preserve">No feedback was given for the experimental trials. </w:t>
      </w:r>
    </w:p>
    <w:p w:rsidR="0092710B" w:rsidRDefault="0092710B" w:rsidP="0092710B">
      <w:pPr>
        <w:widowControl w:val="0"/>
        <w:autoSpaceDE w:val="0"/>
        <w:autoSpaceDN w:val="0"/>
        <w:adjustRightInd w:val="0"/>
        <w:ind w:firstLine="142"/>
      </w:pPr>
      <w:r>
        <w:t>The A</w:t>
      </w:r>
      <w:proofErr w:type="gramStart"/>
      <w:r>
        <w:t>:B</w:t>
      </w:r>
      <w:proofErr w:type="gramEnd"/>
      <w:r>
        <w:t xml:space="preserve">-first group was first shown the A-B pair alone and was asked to describe the semantic relation </w:t>
      </w:r>
      <w:r w:rsidR="005359C9">
        <w:t xml:space="preserve">holding </w:t>
      </w:r>
      <w:r>
        <w:t>between the two drawings</w:t>
      </w:r>
      <w:r w:rsidR="00D559BE">
        <w:t>: “W</w:t>
      </w:r>
      <w:r>
        <w:t>hy do these two things go together”</w:t>
      </w:r>
      <w:r w:rsidR="005359C9">
        <w:t xml:space="preserve">. </w:t>
      </w:r>
      <w:r>
        <w:t xml:space="preserve">Once they had given the relation, the experimenter </w:t>
      </w:r>
      <w:r w:rsidR="00D559BE">
        <w:t>displayed the full s</w:t>
      </w:r>
      <w:r>
        <w:t>et of 7 stimuli defining the problem and asked them to complete the second pair as for the other group.</w:t>
      </w:r>
      <w:r w:rsidRPr="0092710B">
        <w:t xml:space="preserve"> </w:t>
      </w:r>
      <w:r w:rsidR="005359C9">
        <w:t>Apart from this preliminary question for the A-B pair, the two practice trials were framed in the same way as in the Standard Analogy group. In other words, after they had mentioned the relationship holding between A and B they were shown the set of stimuli defining a trial and the same instructions as in the Standard analogy group were given.</w:t>
      </w:r>
    </w:p>
    <w:p w:rsidR="0092710B" w:rsidRDefault="0092710B" w:rsidP="00A70991">
      <w:pPr>
        <w:widowControl w:val="0"/>
        <w:autoSpaceDE w:val="0"/>
        <w:autoSpaceDN w:val="0"/>
        <w:adjustRightInd w:val="0"/>
        <w:ind w:firstLine="142"/>
      </w:pPr>
      <w:r>
        <w:t>Afterwards</w:t>
      </w:r>
      <w:r w:rsidRPr="00E84F1B">
        <w:t>, children’s understanding of the semantic relation between A and B and between C and D was assessed. They were shown the A</w:t>
      </w:r>
      <w:proofErr w:type="gramStart"/>
      <w:r w:rsidRPr="00E84F1B">
        <w:t>:B</w:t>
      </w:r>
      <w:proofErr w:type="gramEnd"/>
      <w:r w:rsidRPr="00E84F1B">
        <w:t xml:space="preserve"> pairs and were asked </w:t>
      </w:r>
      <w:r w:rsidRPr="007B7357">
        <w:rPr>
          <w:i/>
        </w:rPr>
        <w:t>why</w:t>
      </w:r>
      <w:r w:rsidRPr="00E84F1B">
        <w:t xml:space="preserve"> the two items</w:t>
      </w:r>
      <w:r>
        <w:t xml:space="preserve"> of each pair</w:t>
      </w:r>
      <w:r w:rsidRPr="00E84F1B">
        <w:t xml:space="preserve"> </w:t>
      </w:r>
      <w:r>
        <w:t>went</w:t>
      </w:r>
      <w:r w:rsidRPr="00E84F1B">
        <w:t xml:space="preserve"> together. </w:t>
      </w:r>
      <w:r>
        <w:t xml:space="preserve">The same was true for the C-D pairs (see Thibaut et al., 2011, for more details). </w:t>
      </w:r>
    </w:p>
    <w:p w:rsidR="0092710B" w:rsidRPr="00735950" w:rsidRDefault="0092710B" w:rsidP="0092710B">
      <w:pPr>
        <w:pStyle w:val="Titre2"/>
      </w:pPr>
      <w:r>
        <w:t>Results</w:t>
      </w:r>
    </w:p>
    <w:p w:rsidR="0092710B" w:rsidRDefault="0092710B" w:rsidP="0092710B">
      <w:r>
        <w:t>We first removed all the trials in which children could not identify one of the semantic relations, either A</w:t>
      </w:r>
      <w:proofErr w:type="gramStart"/>
      <w:r>
        <w:t>:B</w:t>
      </w:r>
      <w:proofErr w:type="gramEnd"/>
      <w:r>
        <w:t xml:space="preserve"> or C:D</w:t>
      </w:r>
      <w:r w:rsidRPr="00DD1138">
        <w:rPr>
          <w:color w:val="000000"/>
        </w:rPr>
        <w:t xml:space="preserve">. </w:t>
      </w:r>
      <w:r>
        <w:rPr>
          <w:color w:val="000000"/>
        </w:rPr>
        <w:t xml:space="preserve">As </w:t>
      </w:r>
    </w:p>
    <w:p w:rsidR="00E65972" w:rsidRDefault="00E65972" w:rsidP="00A70991">
      <w:pPr>
        <w:ind w:firstLine="0"/>
      </w:pPr>
    </w:p>
    <w:p w:rsidR="00E65972" w:rsidRDefault="00510372" w:rsidP="00E65972">
      <w:pPr>
        <w:ind w:firstLine="0"/>
        <w:rPr>
          <w:rFonts w:eastAsia="Times New Roman"/>
          <w:b/>
          <w:sz w:val="24"/>
        </w:rPr>
      </w:pPr>
      <w:r>
        <w:rPr>
          <w:rFonts w:eastAsia="Times New Roman"/>
          <w:b/>
          <w:noProof/>
          <w:sz w:val="24"/>
          <w:lang w:val="fr-FR" w:eastAsia="fr-FR"/>
        </w:rPr>
        <w:lastRenderedPageBreak/>
        <w:drawing>
          <wp:inline distT="0" distB="0" distL="0" distR="0">
            <wp:extent cx="3075940" cy="48806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075940" cy="4880610"/>
                    </a:xfrm>
                    <a:prstGeom prst="rect">
                      <a:avLst/>
                    </a:prstGeom>
                    <a:solidFill>
                      <a:srgbClr val="FFFFFF"/>
                    </a:solidFill>
                    <a:ln w="9525">
                      <a:noFill/>
                      <a:miter lim="800000"/>
                      <a:headEnd/>
                      <a:tailEnd/>
                    </a:ln>
                  </pic:spPr>
                </pic:pic>
              </a:graphicData>
            </a:graphic>
          </wp:inline>
        </w:drawing>
      </w:r>
    </w:p>
    <w:p w:rsidR="00E65972" w:rsidRDefault="00E65972" w:rsidP="00E65972">
      <w:pPr>
        <w:ind w:firstLine="0"/>
        <w:rPr>
          <w:rFonts w:eastAsia="Times New Roman"/>
          <w:b/>
          <w:sz w:val="24"/>
        </w:rPr>
      </w:pPr>
    </w:p>
    <w:p w:rsidR="00E65972" w:rsidRDefault="00E65972" w:rsidP="00E65972">
      <w:pPr>
        <w:jc w:val="center"/>
      </w:pPr>
      <w:r w:rsidRPr="00002064">
        <w:rPr>
          <w:u w:val="single"/>
        </w:rPr>
        <w:t>Figure</w:t>
      </w:r>
      <w:r w:rsidRPr="00735950">
        <w:rPr>
          <w:u w:val="single"/>
        </w:rPr>
        <w:t xml:space="preserve"> </w:t>
      </w:r>
      <w:r>
        <w:rPr>
          <w:u w:val="single"/>
        </w:rPr>
        <w:t>1</w:t>
      </w:r>
      <w:r>
        <w:t xml:space="preserve">: </w:t>
      </w:r>
      <w:r w:rsidR="009A17AB">
        <w:t>Two examples of analogies used in the experiment</w:t>
      </w:r>
      <w:r>
        <w:t xml:space="preserve">. Analogical: Analogical answer; Semantic: Distractor related to the C </w:t>
      </w:r>
      <w:r w:rsidR="00021948">
        <w:t>item</w:t>
      </w:r>
      <w:r>
        <w:t>; Neutral: unrelated picture</w:t>
      </w:r>
    </w:p>
    <w:p w:rsidR="00E65972" w:rsidRDefault="00E65972" w:rsidP="00640E77">
      <w:pPr>
        <w:ind w:firstLine="0"/>
      </w:pPr>
    </w:p>
    <w:p w:rsidR="00E65972" w:rsidRPr="00EB7F42" w:rsidRDefault="00EB7F42" w:rsidP="00EB7F42">
      <w:proofErr w:type="gramStart"/>
      <w:r>
        <w:rPr>
          <w:color w:val="000000"/>
        </w:rPr>
        <w:t>a</w:t>
      </w:r>
      <w:proofErr w:type="gramEnd"/>
      <w:r>
        <w:rPr>
          <w:color w:val="000000"/>
        </w:rPr>
        <w:t xml:space="preserve"> result</w:t>
      </w:r>
      <w:r w:rsidRPr="00DD1138">
        <w:rPr>
          <w:color w:val="000000"/>
        </w:rPr>
        <w:t>, 3% of the trials were removed from subsequent</w:t>
      </w:r>
      <w:r>
        <w:t xml:space="preserve"> </w:t>
      </w:r>
      <w:r w:rsidR="00E65972" w:rsidRPr="00DD1138">
        <w:rPr>
          <w:color w:val="000000"/>
        </w:rPr>
        <w:t>analysis.</w:t>
      </w:r>
      <w:r w:rsidR="001E5D3E">
        <w:rPr>
          <w:color w:val="000000"/>
        </w:rPr>
        <w:t xml:space="preserve"> Note also that in most trials (90% of the cases)</w:t>
      </w:r>
      <w:r w:rsidR="001E5D3E" w:rsidRPr="00674EAF">
        <w:rPr>
          <w:color w:val="000000"/>
        </w:rPr>
        <w:t xml:space="preserve"> </w:t>
      </w:r>
      <w:r w:rsidR="001E5D3E">
        <w:rPr>
          <w:color w:val="000000"/>
        </w:rPr>
        <w:t>children find the target relation that was intended by the experimenter</w:t>
      </w:r>
      <w:r w:rsidR="001E5D3E" w:rsidRPr="00674EAF">
        <w:rPr>
          <w:color w:val="000000"/>
        </w:rPr>
        <w:t xml:space="preserve">. </w:t>
      </w:r>
    </w:p>
    <w:p w:rsidR="00E65972" w:rsidRPr="00990474" w:rsidRDefault="00E65972" w:rsidP="00E65972">
      <w:r>
        <w:t>W</w:t>
      </w:r>
      <w:r w:rsidR="00272354">
        <w:t>e ran a one</w:t>
      </w:r>
      <w:r>
        <w:t xml:space="preserve">-way ANOVA on the scores defined as the </w:t>
      </w:r>
      <w:r w:rsidRPr="00990474">
        <w:t xml:space="preserve">proportion of correct answers with Condition (Standard Analogies vs. </w:t>
      </w:r>
      <w:r w:rsidR="0092710B">
        <w:t>A</w:t>
      </w:r>
      <w:proofErr w:type="gramStart"/>
      <w:r w:rsidR="0092710B">
        <w:t>:B</w:t>
      </w:r>
      <w:proofErr w:type="gramEnd"/>
      <w:r w:rsidR="0092710B">
        <w:t>-first</w:t>
      </w:r>
      <w:r w:rsidRPr="00990474">
        <w:t xml:space="preserve">) as a between-subject factor. </w:t>
      </w:r>
    </w:p>
    <w:p w:rsidR="00E65972" w:rsidRPr="00990474" w:rsidRDefault="00E65972" w:rsidP="00E65972">
      <w:r w:rsidRPr="00990474">
        <w:t>There</w:t>
      </w:r>
      <w:r w:rsidR="00990474" w:rsidRPr="00990474">
        <w:t xml:space="preserve"> was a</w:t>
      </w:r>
      <w:r w:rsidRPr="00990474">
        <w:t xml:space="preserve"> main effect of condition, F (1, 40) = 6.02, p &lt; .05, </w:t>
      </w:r>
      <w:r w:rsidRPr="00990474">
        <w:rPr>
          <w:i/>
        </w:rPr>
        <w:t>η²</w:t>
      </w:r>
      <w:r w:rsidRPr="00990474">
        <w:t xml:space="preserve"> = .13, with better scores in the </w:t>
      </w:r>
      <w:r w:rsidR="0092710B">
        <w:t>A</w:t>
      </w:r>
      <w:proofErr w:type="gramStart"/>
      <w:r w:rsidR="0092710B">
        <w:t>:B</w:t>
      </w:r>
      <w:proofErr w:type="gramEnd"/>
      <w:r w:rsidR="0092710B">
        <w:t>-first</w:t>
      </w:r>
      <w:r w:rsidRPr="00990474">
        <w:t xml:space="preserve"> condition (mean score = .68; see Figure 2) than in the Standard Analogies condition (mean score = .58). These results confirmed our </w:t>
      </w:r>
      <w:r w:rsidR="00990474">
        <w:t>hypothesis</w:t>
      </w:r>
      <w:r w:rsidRPr="00990474">
        <w:t xml:space="preserve"> that processing the A</w:t>
      </w:r>
      <w:proofErr w:type="gramStart"/>
      <w:r w:rsidRPr="00990474">
        <w:t>:B</w:t>
      </w:r>
      <w:proofErr w:type="gramEnd"/>
      <w:r w:rsidRPr="00990474">
        <w:t xml:space="preserve"> pair first could help children in their search for the analogical answer.</w:t>
      </w:r>
    </w:p>
    <w:p w:rsidR="00E65972" w:rsidRPr="00990474" w:rsidRDefault="00E65972" w:rsidP="00E65972"/>
    <w:p w:rsidR="00E65972" w:rsidRPr="00990474" w:rsidRDefault="00510372" w:rsidP="00E65972">
      <w:pPr>
        <w:pStyle w:val="NormalSectionStart"/>
        <w:rPr>
          <w:b/>
          <w:sz w:val="24"/>
        </w:rPr>
      </w:pPr>
      <w:r>
        <w:rPr>
          <w:b/>
          <w:noProof/>
          <w:sz w:val="24"/>
          <w:lang w:val="fr-FR" w:eastAsia="fr-FR"/>
        </w:rPr>
        <w:lastRenderedPageBreak/>
        <w:drawing>
          <wp:inline distT="0" distB="0" distL="0" distR="0">
            <wp:extent cx="3069336" cy="2381679"/>
            <wp:effectExtent l="10595" t="5286" r="7439" b="0"/>
            <wp:docPr id="3"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65972" w:rsidRPr="00990474" w:rsidRDefault="00E65972" w:rsidP="00E65972"/>
    <w:p w:rsidR="00E65972" w:rsidRPr="00990474" w:rsidRDefault="00E65972" w:rsidP="00E65972">
      <w:pPr>
        <w:jc w:val="center"/>
      </w:pPr>
      <w:r w:rsidRPr="00990474">
        <w:rPr>
          <w:u w:val="single"/>
        </w:rPr>
        <w:t xml:space="preserve">Figure </w:t>
      </w:r>
      <w:r w:rsidR="00990474" w:rsidRPr="00990474">
        <w:rPr>
          <w:u w:val="single"/>
        </w:rPr>
        <w:t>2</w:t>
      </w:r>
      <w:r w:rsidRPr="00990474">
        <w:t>: Scores of the 5-year-olds in the analogical reasoning test in the two conditions; p &lt; .05.</w:t>
      </w:r>
    </w:p>
    <w:p w:rsidR="00E65972" w:rsidRDefault="00E65972" w:rsidP="00E65972"/>
    <w:p w:rsidR="00E65972" w:rsidRDefault="00E65972" w:rsidP="00E65972"/>
    <w:p w:rsidR="00197185" w:rsidRPr="00E65972" w:rsidRDefault="003859AB" w:rsidP="00E65972">
      <w:pPr>
        <w:rPr>
          <w:color w:val="000000"/>
        </w:rPr>
      </w:pPr>
      <w:r>
        <w:rPr>
          <w:color w:val="000000"/>
        </w:rPr>
        <w:t>When children did not select the analogical match,</w:t>
      </w:r>
      <w:r w:rsidR="00E65972" w:rsidRPr="002B2AB4">
        <w:rPr>
          <w:color w:val="000000"/>
        </w:rPr>
        <w:t xml:space="preserve"> </w:t>
      </w:r>
      <w:r>
        <w:rPr>
          <w:color w:val="000000"/>
        </w:rPr>
        <w:t xml:space="preserve">in </w:t>
      </w:r>
      <w:r w:rsidR="00E65972" w:rsidRPr="002B2AB4">
        <w:rPr>
          <w:color w:val="000000"/>
        </w:rPr>
        <w:t xml:space="preserve">84.5% of the </w:t>
      </w:r>
      <w:r>
        <w:rPr>
          <w:color w:val="000000"/>
        </w:rPr>
        <w:t>cases, they selected</w:t>
      </w:r>
      <w:r w:rsidR="00E65972" w:rsidRPr="002B2AB4">
        <w:rPr>
          <w:color w:val="000000"/>
        </w:rPr>
        <w:t xml:space="preserve"> the distractor </w:t>
      </w:r>
      <w:r>
        <w:rPr>
          <w:color w:val="000000"/>
        </w:rPr>
        <w:t xml:space="preserve">that was semantically </w:t>
      </w:r>
      <w:r w:rsidR="00E65972" w:rsidRPr="002B2AB4">
        <w:rPr>
          <w:color w:val="000000"/>
        </w:rPr>
        <w:t xml:space="preserve">related to C. This </w:t>
      </w:r>
      <w:r w:rsidR="00BC3B9B">
        <w:rPr>
          <w:color w:val="000000"/>
        </w:rPr>
        <w:t xml:space="preserve">result </w:t>
      </w:r>
      <w:r w:rsidR="00E65972" w:rsidRPr="002B2AB4">
        <w:rPr>
          <w:color w:val="000000"/>
        </w:rPr>
        <w:t>differs significantly from chance (25% of selection, one sample t test; t (41) = 21.31, p &lt; .001).</w:t>
      </w:r>
      <w:r w:rsidR="00E65972" w:rsidRPr="00D05786">
        <w:rPr>
          <w:color w:val="FF0000"/>
        </w:rPr>
        <w:t xml:space="preserve"> </w:t>
      </w:r>
    </w:p>
    <w:p w:rsidR="002802F0" w:rsidRDefault="00B8104E" w:rsidP="00624D4E">
      <w:pPr>
        <w:pStyle w:val="Titre1"/>
      </w:pPr>
      <w:r>
        <w:t>General d</w:t>
      </w:r>
      <w:r w:rsidR="00525987">
        <w:t>iscussion</w:t>
      </w:r>
    </w:p>
    <w:p w:rsidR="006C110F" w:rsidRDefault="00B05A47" w:rsidP="00624D4E">
      <w:pPr>
        <w:numPr>
          <w:ilvl w:val="0"/>
          <w:numId w:val="1"/>
        </w:numPr>
      </w:pPr>
      <w:r w:rsidRPr="00764C1E">
        <w:t xml:space="preserve">The </w:t>
      </w:r>
      <w:r w:rsidR="000032C4">
        <w:t>main purpose of the</w:t>
      </w:r>
      <w:r w:rsidR="00272354">
        <w:t xml:space="preserve"> </w:t>
      </w:r>
      <w:r w:rsidR="00EB7F42">
        <w:t>experiment</w:t>
      </w:r>
      <w:r w:rsidR="00272354">
        <w:t xml:space="preserve"> presented in this paper</w:t>
      </w:r>
      <w:r w:rsidR="000032C4">
        <w:t xml:space="preserve"> was to test whether young children’s difficulties in analogy making might result from their difficulties to integrate the A</w:t>
      </w:r>
      <w:proofErr w:type="gramStart"/>
      <w:r w:rsidR="000032C4">
        <w:t>:B</w:t>
      </w:r>
      <w:proofErr w:type="gramEnd"/>
      <w:r w:rsidR="000032C4">
        <w:t xml:space="preserve"> pair in the analogy problem. Indeed, Thibaut et al. (2011) </w:t>
      </w:r>
      <w:r w:rsidR="00BA554C">
        <w:t>reported</w:t>
      </w:r>
      <w:r w:rsidR="000032C4">
        <w:t xml:space="preserve"> eye</w:t>
      </w:r>
      <w:r w:rsidR="00EB44D4">
        <w:t>-</w:t>
      </w:r>
      <w:r w:rsidR="000032C4">
        <w:t>tracking data sugges</w:t>
      </w:r>
      <w:r w:rsidR="00272354">
        <w:t>ting that young children spend</w:t>
      </w:r>
      <w:r w:rsidR="000032C4">
        <w:t xml:space="preserve"> more time on C and the stimuli in the solution set at the beginning of the trial, and less time on A. By contrast, </w:t>
      </w:r>
      <w:r w:rsidR="00BA554C">
        <w:t>adults</w:t>
      </w:r>
      <w:r w:rsidR="000032C4">
        <w:t xml:space="preserve"> devoted the maj</w:t>
      </w:r>
      <w:r w:rsidR="00271303">
        <w:t>ority of their exploration time, at the beginning of the trial, to the interpretation of the A-B pair. This led us to conjecture that one source of children’s difficulty lies in the</w:t>
      </w:r>
      <w:r w:rsidR="00272354">
        <w:t>ir</w:t>
      </w:r>
      <w:r w:rsidR="00271303">
        <w:t xml:space="preserve"> search strategy </w:t>
      </w:r>
      <w:r w:rsidR="0091304D">
        <w:t>for the task.  We suggest that this strategy is, at least in part, induced by the</w:t>
      </w:r>
      <w:r w:rsidR="00272354">
        <w:t xml:space="preserve"> </w:t>
      </w:r>
      <w:r w:rsidR="00271303">
        <w:t xml:space="preserve">instructions which require </w:t>
      </w:r>
      <w:r w:rsidR="0091304D">
        <w:t>them to find “the item</w:t>
      </w:r>
      <w:r w:rsidR="00271303">
        <w:t xml:space="preserve"> that goes with C.</w:t>
      </w:r>
      <w:r w:rsidR="0091304D">
        <w:t>”</w:t>
      </w:r>
      <w:r w:rsidR="00271303">
        <w:t xml:space="preserve"> </w:t>
      </w:r>
      <w:r w:rsidR="006C110F">
        <w:t>In the experiment, we directly tested our hypothesis in a condition that required children to first interpret the A-B pair. It was compared with the classical analogy problems. The results confirmed our hypothesis</w:t>
      </w:r>
      <w:r w:rsidR="001149E0">
        <w:t>,</w:t>
      </w:r>
      <w:r w:rsidR="006C110F">
        <w:t xml:space="preserve"> since children were better in the A-B first condition. </w:t>
      </w:r>
    </w:p>
    <w:p w:rsidR="00B05A47" w:rsidRPr="00764C1E" w:rsidRDefault="00271303" w:rsidP="00624D4E">
      <w:pPr>
        <w:numPr>
          <w:ilvl w:val="0"/>
          <w:numId w:val="1"/>
        </w:numPr>
      </w:pPr>
      <w:r>
        <w:t xml:space="preserve"> </w:t>
      </w:r>
      <w:r w:rsidR="001149E0">
        <w:t xml:space="preserve">  </w:t>
      </w:r>
      <w:r w:rsidR="00972F34">
        <w:t>The</w:t>
      </w:r>
      <w:r w:rsidR="00B05A47" w:rsidRPr="00764C1E">
        <w:t xml:space="preserve"> </w:t>
      </w:r>
      <w:r w:rsidR="00EB7F42">
        <w:t>experiment</w:t>
      </w:r>
      <w:r w:rsidR="006C110F">
        <w:t xml:space="preserve"> </w:t>
      </w:r>
      <w:r w:rsidR="00B21D8B">
        <w:t xml:space="preserve">is </w:t>
      </w:r>
      <w:r w:rsidR="006C110F">
        <w:t>consistent</w:t>
      </w:r>
      <w:r w:rsidR="00B05A47" w:rsidRPr="00764C1E">
        <w:t xml:space="preserve"> </w:t>
      </w:r>
      <w:r w:rsidR="006C110F">
        <w:t xml:space="preserve">with the idea that </w:t>
      </w:r>
      <w:r w:rsidR="00B05A47" w:rsidRPr="00764C1E">
        <w:t xml:space="preserve">children spend less time than adults </w:t>
      </w:r>
      <w:r w:rsidR="006C110F">
        <w:t>studying</w:t>
      </w:r>
      <w:r w:rsidR="00B05A47" w:rsidRPr="00764C1E">
        <w:t xml:space="preserve"> </w:t>
      </w:r>
      <w:r w:rsidR="006C110F">
        <w:t>the A-B pair.</w:t>
      </w:r>
      <w:r w:rsidR="008B01E3">
        <w:t xml:space="preserve"> </w:t>
      </w:r>
      <w:r w:rsidR="00972F34">
        <w:t>These data are consistent with Thibaut et al. (2011) eye</w:t>
      </w:r>
      <w:r w:rsidR="00EB44D4">
        <w:t>-</w:t>
      </w:r>
      <w:r w:rsidR="00972F34">
        <w:t>tracking data (see als</w:t>
      </w:r>
      <w:r w:rsidR="00462D47">
        <w:t>o Thibaut &amp; French, submitted)</w:t>
      </w:r>
      <w:r w:rsidR="00B21D8B">
        <w:t xml:space="preserve"> showing that c</w:t>
      </w:r>
      <w:r w:rsidR="00462D47">
        <w:t>hildren spen</w:t>
      </w:r>
      <w:r w:rsidR="00B21D8B">
        <w:t>d</w:t>
      </w:r>
      <w:r w:rsidR="00462D47">
        <w:t xml:space="preserve"> less time on A and B, compared to C, had fewer A-B transitions than adults. </w:t>
      </w:r>
      <w:r w:rsidR="00B21D8B">
        <w:t>The experiment</w:t>
      </w:r>
      <w:r w:rsidR="00462D47">
        <w:t xml:space="preserve"> forced them to do what adults do spontaneously and, i.e., inducing the </w:t>
      </w:r>
      <w:r w:rsidR="008A0B8D" w:rsidRPr="00764C1E">
        <w:t>sequential</w:t>
      </w:r>
      <w:r w:rsidR="00462D47">
        <w:t xml:space="preserve"> A-B then C-D</w:t>
      </w:r>
      <w:r w:rsidR="00B05A47" w:rsidRPr="00764C1E">
        <w:t xml:space="preserve"> strategy</w:t>
      </w:r>
      <w:r w:rsidR="00462D47">
        <w:t xml:space="preserve">, which gave rise to higher </w:t>
      </w:r>
      <w:r w:rsidR="00B05A47" w:rsidRPr="00764C1E">
        <w:t xml:space="preserve">scores than in </w:t>
      </w:r>
      <w:r w:rsidR="00462D47">
        <w:t>the</w:t>
      </w:r>
      <w:r w:rsidR="00B05A47" w:rsidRPr="00764C1E">
        <w:t xml:space="preserve"> </w:t>
      </w:r>
      <w:r w:rsidR="00462D47">
        <w:t>“</w:t>
      </w:r>
      <w:r w:rsidR="00B05A47" w:rsidRPr="00764C1E">
        <w:t>classical</w:t>
      </w:r>
      <w:r w:rsidR="00462D47">
        <w:t>”</w:t>
      </w:r>
      <w:r w:rsidR="00B05A47" w:rsidRPr="00764C1E">
        <w:t xml:space="preserve"> </w:t>
      </w:r>
      <w:r w:rsidR="00462D47">
        <w:t>simultaneous presentation</w:t>
      </w:r>
      <w:r w:rsidR="00B05A47" w:rsidRPr="00764C1E">
        <w:t>.</w:t>
      </w:r>
    </w:p>
    <w:p w:rsidR="00D936C3" w:rsidRDefault="006735AB" w:rsidP="00624D4E">
      <w:r>
        <w:lastRenderedPageBreak/>
        <w:t xml:space="preserve">The </w:t>
      </w:r>
      <w:r w:rsidR="00197185">
        <w:t xml:space="preserve">increased performance in the </w:t>
      </w:r>
      <w:r w:rsidR="0092710B">
        <w:t>A:B-first</w:t>
      </w:r>
      <w:r w:rsidR="00197185">
        <w:t xml:space="preserve"> condition</w:t>
      </w:r>
      <w:r w:rsidR="00462D47">
        <w:t xml:space="preserve"> </w:t>
      </w:r>
      <w:r w:rsidR="00DF1F98">
        <w:fldChar w:fldCharType="begin" w:fldLock="1"/>
      </w:r>
      <w:r w:rsidR="00272C3D">
        <w:instrText xml:space="preserve">ADDIN Mendeley Citation{d99fc160-4978-4c82-b979-2abcc56bb2b4} CSL_CITATION  { "citationItems" : [ { "id" : "ITEM-1", "itemData" : { "author" : [ { "family" : "Thibaut", "given" : "J-P" }, { "family" : "French", "given" : "R.M." }, { "family" : "Missault", "given" : "Ang\u00e9lique" }, { "family" : "G\u00e9rard", "given" : "Yannick" }, { "family" : "Glady", "given" : "Yannick" } ], "container-title" : "Proceedings of the Thirty-third Annual Meeting of the Cognitive Science Society", "id" : "ITEM-1", "issued" : { "date-parts" : [ [ "2011" ] ] }, "note" : "\u003cm:note/\u003e", "page" : "453\u2013458", "title" : "In the Eyes of the Beholder: What Eye-Tracking Reveals About Analogy-Making Strategies in Children and Adults", "type" : "paper-conference" }, "uris" : [ "http://www.mendeley.com/documents/?uuid=d99fc160-4978-4c82-b979-2abcc56bb2b4" ] } ], "mendeley" : { "previouslyFormattedCitation" : "(Thibaut, French, Missault, et al., 2011)" }, "properties" : { "noteIndex" : 0 }, "schema" : "https://github.com/citation-style-language/schema/raw/master/csl-citation.json" } </w:instrText>
      </w:r>
      <w:r w:rsidR="00DF1F98">
        <w:fldChar w:fldCharType="separate"/>
      </w:r>
      <w:r w:rsidR="00462D47">
        <w:rPr>
          <w:noProof/>
        </w:rPr>
        <w:t xml:space="preserve">and the eyetracking data </w:t>
      </w:r>
      <w:r w:rsidR="00506043" w:rsidRPr="00506043">
        <w:rPr>
          <w:noProof/>
        </w:rPr>
        <w:t>Thi</w:t>
      </w:r>
      <w:r w:rsidR="00462D47">
        <w:rPr>
          <w:noProof/>
        </w:rPr>
        <w:t>baut, French, Missault, et al. (</w:t>
      </w:r>
      <w:r w:rsidR="00506043" w:rsidRPr="00506043">
        <w:rPr>
          <w:noProof/>
        </w:rPr>
        <w:t>2011)</w:t>
      </w:r>
      <w:r w:rsidR="00DF1F98">
        <w:fldChar w:fldCharType="end"/>
      </w:r>
      <w:r w:rsidR="00462D47">
        <w:t xml:space="preserve"> are entirely compatible with the executive function view. Given that the instructions prompt them to find a partner for C in the set of </w:t>
      </w:r>
      <w:proofErr w:type="gramStart"/>
      <w:r w:rsidR="00462D47">
        <w:t>solution</w:t>
      </w:r>
      <w:r w:rsidR="00B21D8B">
        <w:t>s</w:t>
      </w:r>
      <w:r w:rsidR="00462D47">
        <w:t>,</w:t>
      </w:r>
      <w:proofErr w:type="gramEnd"/>
      <w:r w:rsidR="00462D47">
        <w:t xml:space="preserve"> they might </w:t>
      </w:r>
      <w:r w:rsidR="001149E0">
        <w:t>find it hard</w:t>
      </w:r>
      <w:r w:rsidR="00462D47">
        <w:t xml:space="preserve"> to </w:t>
      </w:r>
      <w:r w:rsidR="00D84A42">
        <w:t xml:space="preserve">inhibit the set of stimuli which </w:t>
      </w:r>
      <w:r w:rsidR="001149E0">
        <w:t>were explicitly mentioned in</w:t>
      </w:r>
      <w:r w:rsidR="00D84A42">
        <w:t xml:space="preserve"> the instructions. Another, r</w:t>
      </w:r>
      <w:r w:rsidR="001149E0">
        <w:t xml:space="preserve">elated interpretation, could involve </w:t>
      </w:r>
      <w:r w:rsidR="00E90FF3">
        <w:t xml:space="preserve">the representation </w:t>
      </w:r>
      <w:r w:rsidR="00787F20">
        <w:t xml:space="preserve">and maintenance </w:t>
      </w:r>
      <w:r w:rsidR="00E90FF3">
        <w:t xml:space="preserve">of the </w:t>
      </w:r>
      <w:r w:rsidR="00787F20">
        <w:t>sub-</w:t>
      </w:r>
      <w:r w:rsidR="00E90FF3">
        <w:t>goal</w:t>
      </w:r>
      <w:r w:rsidR="00787F20">
        <w:t>s</w:t>
      </w:r>
      <w:r w:rsidR="00E90FF3">
        <w:t xml:space="preserve"> o</w:t>
      </w:r>
      <w:r w:rsidR="00D84A42">
        <w:t xml:space="preserve">f the task. This has been suggested </w:t>
      </w:r>
      <w:r w:rsidR="00E90FF3">
        <w:t>for other tasks</w:t>
      </w:r>
      <w:r w:rsidR="00D936C3">
        <w:t xml:space="preserve"> assessing executive functions</w:t>
      </w:r>
      <w:r w:rsidR="00E90FF3">
        <w:t xml:space="preserve"> </w:t>
      </w:r>
      <w:r w:rsidR="00DF1F98">
        <w:fldChar w:fldCharType="begin" w:fldLock="1"/>
      </w:r>
      <w:r w:rsidR="00272C3D">
        <w:instrText xml:space="preserve">ADDIN Mendeley Citation{3232608a-9ae2-4ad2-a8de-a4ed0183f8e8};{f4ee1e33-7366-4ba7-8ca6-413fa26f4cac} CSL_CITATION  { "citationItems" : [ { "id" : "ITEM-1", "itemData" : { "DOI" : "10.1016/j.jecp.2010.09.006", "abstract" : "This study addressed the role of goal representation in preschoolers' inhibition and flexibility performance. A total of 56 4- and 5-year-olds were tested in an adapted version of the Shape School task where the difficulty of goal representation was manipulated by varying the degree of transparency of task cues. The findings showed that both age groups' performance in the flexibility phase was increased when demands on goal representation were alleviated by using transparent cues instead of arbitrary cues. Furthermore, 4-year-olds performed more accurately on go trials in the inhibition phase with transparent cues than with arbitrary cues. These results confirm the critical role of goal representation in flexibility and reveal its influence in inhibition contexts. Altogether, this study suggests that goal representation is a key element for efficient executive function across a variety of settings involving different executive functions.", "author" : [ { "family" : "Blaye", "given" : "Agn\u00e8s" }, { "family" : "Chevalier", "given" : "Nicolas" } ], "container-title" : "Journal of experimental child psychology", "id" : "ITEM-1", "issue" : "3", "issued" : { "date-parts" : [ [ "2011", "3" ] ] }, "note" : "\u003cm:note/\u003e", "page" : "469-83", "title" : "The role of goal representation in preschoolers' flexibility and inhibition.", "type" : "article-journal", "volume" : "108" }, "uris" : [ "http://www.mendeley.com/documents/?uuid=3232608a-9ae2-4ad2-a8de-a4ed0183f8e8" ] }, { "id" : "ITEM-2", "itemData" : { "abstract" : "In this theoretical paper, we review findings from a series of recent behavioral and functional neuroimaging studies of working memory and executive control which provide evidence for the following theses: 1. Working memory in humans is represented by two brain systems which differ from each other with respect to their functional-neuroanatomical organization and probably also with respect to their evolutionary origin. 2. One of these brain systems relies on prefronto-parietal and prefronto-temporal cortical networks that presumably also mediate attentional selection by the top-down modulation of domain-specific sensory association areas towards behaviorally relevant information. 3. The other system is implemented by mainly left-hemispheric premotor and parietal brain regions which to a greater part also underlie language functions and which may also be involved in the retrieval and maintenance of verbal goal representations during advance preparation for task switches. 4. Context-sensitive behavioral adaptation is supported by a complementary mechanism for the detection of conflicts and for the triggering of cognitive control processes that relies on parts of the medial frontal cortex. Based on these empirical results reported in the literature we propose a neurocognitive model of executive control according to which the human ability to flexibly adapt to changing behavioral requirements, i.e. executive control, depends on dynamic and context-sensitive interactions between these brain systems.", "author" : [ { "family" : "Gruber", "given" : "Oliver" }, { "family" : "Goschke", "given" : "Thomas" } ], "container-title" : "Acta Psychologica", "id" : "ITEM-2", "issue" : "2-3", "issued" : { "date-parts" : [ [ "2004" ] ] }, "note" : "\u003cm:note/\u003e", "page" : "105-21", "title" : "Executive control emerging from dynamic interactions between brain systems mediating language, working memory and attentional processes.", "type" : "article-journal", "volume" : "115" }, "uris" : [ "http://www.mendeley.com/documents/?uuid=f4ee1e33-7366-4ba7-8ca6-413fa26f4cac" ] } ], "mendeley" : { "previouslyFormattedCitation" : "(Blaye \u0026#38; Chevalier, 2011; Gruber \u0026#38; Goschke, 2004)" }, "properties" : { "noteIndex" : 0 }, "schema" : "https://github.com/citation-style-language/schema/raw/master/csl-citation.json" } </w:instrText>
      </w:r>
      <w:r w:rsidR="00DF1F98">
        <w:fldChar w:fldCharType="separate"/>
      </w:r>
      <w:r w:rsidR="008963B9" w:rsidRPr="008963B9">
        <w:rPr>
          <w:noProof/>
        </w:rPr>
        <w:t>(Blaye &amp; Chevalier, 2011; Gruber &amp; Goschke, 2004)</w:t>
      </w:r>
      <w:r w:rsidR="00DF1F98">
        <w:fldChar w:fldCharType="end"/>
      </w:r>
      <w:r w:rsidR="008963B9">
        <w:t xml:space="preserve">. </w:t>
      </w:r>
      <w:r w:rsidR="001149E0">
        <w:t>C</w:t>
      </w:r>
      <w:r w:rsidR="00D936C3">
        <w:t>hildren may represent the main goal of the task, which is to find a p</w:t>
      </w:r>
      <w:r w:rsidR="00021948">
        <w:t>icture that is related to the C item</w:t>
      </w:r>
      <w:r w:rsidR="00D936C3">
        <w:t xml:space="preserve">, but may have </w:t>
      </w:r>
      <w:r w:rsidR="001149E0">
        <w:t xml:space="preserve">difficulty </w:t>
      </w:r>
      <w:r w:rsidR="00D936C3">
        <w:t>depart</w:t>
      </w:r>
      <w:r w:rsidR="001149E0">
        <w:t>ing</w:t>
      </w:r>
      <w:r w:rsidR="00D936C3">
        <w:t xml:space="preserve"> from this goal to achieve a crucial sub-goal</w:t>
      </w:r>
      <w:r w:rsidR="001149E0">
        <w:t xml:space="preserve"> – namely,</w:t>
      </w:r>
      <w:r w:rsidR="00D936C3">
        <w:t xml:space="preserve"> finding which relation has to be used to find the correct answer between the different options related to the C </w:t>
      </w:r>
      <w:r w:rsidR="00021948">
        <w:t>item</w:t>
      </w:r>
      <w:r w:rsidR="00D936C3">
        <w:t xml:space="preserve"> (analogical answer and </w:t>
      </w:r>
      <w:r w:rsidR="00F07FAB">
        <w:t>distractor</w:t>
      </w:r>
      <w:r w:rsidR="008A6018">
        <w:t>). Studying</w:t>
      </w:r>
      <w:r w:rsidR="00D936C3">
        <w:t xml:space="preserve"> </w:t>
      </w:r>
      <w:r w:rsidR="003073A6">
        <w:t xml:space="preserve">and verbalizing the relation linking </w:t>
      </w:r>
      <w:r w:rsidR="00D936C3">
        <w:t>the A</w:t>
      </w:r>
      <w:proofErr w:type="gramStart"/>
      <w:r w:rsidR="00D936C3">
        <w:t>:B</w:t>
      </w:r>
      <w:proofErr w:type="gramEnd"/>
      <w:r w:rsidR="00D936C3">
        <w:t xml:space="preserve"> pair may </w:t>
      </w:r>
      <w:r w:rsidR="008A6018">
        <w:t>contribute to enhance this sub-goal. In this format, they should</w:t>
      </w:r>
      <w:r w:rsidR="00D936C3">
        <w:t xml:space="preserve"> not have to generate this sub-goal by themselves. </w:t>
      </w:r>
    </w:p>
    <w:p w:rsidR="00B21D8B" w:rsidRDefault="00B21D8B" w:rsidP="00624D4E">
      <w:r>
        <w:t xml:space="preserve">The studies in the literature have pointed out two main explanations of children’s failures to </w:t>
      </w:r>
      <w:r w:rsidR="004B25F9">
        <w:t>do</w:t>
      </w:r>
      <w:r>
        <w:t xml:space="preserve"> analogies</w:t>
      </w:r>
      <w:r w:rsidR="004B25F9">
        <w:t xml:space="preserve"> correctly</w:t>
      </w:r>
      <w:r>
        <w:t>. The first is the role of knowledge</w:t>
      </w:r>
      <w:r w:rsidR="005F3232">
        <w:t xml:space="preserve"> (e.g., </w:t>
      </w:r>
      <w:proofErr w:type="spellStart"/>
      <w:r w:rsidR="005F3232">
        <w:t>Gentner</w:t>
      </w:r>
      <w:proofErr w:type="spellEnd"/>
      <w:r w:rsidR="005F3232">
        <w:t xml:space="preserve">, 1988; Goswami &amp; Brown, 1990). The second is related </w:t>
      </w:r>
      <w:r w:rsidR="004B25F9">
        <w:t>to</w:t>
      </w:r>
      <w:r w:rsidR="005F3232">
        <w:t xml:space="preserve"> executive functions. </w:t>
      </w:r>
      <w:r w:rsidR="00D2708C">
        <w:t>It has been</w:t>
      </w:r>
      <w:r w:rsidR="005F3232">
        <w:t xml:space="preserve"> shown that children might have difficulties </w:t>
      </w:r>
      <w:r w:rsidR="004B25F9">
        <w:t>handling</w:t>
      </w:r>
      <w:r w:rsidR="005F3232">
        <w:t xml:space="preserve"> all the information available in the task</w:t>
      </w:r>
      <w:r w:rsidR="00D2708C">
        <w:t>, such as distractors related to C (see</w:t>
      </w:r>
      <w:r w:rsidR="00D2708C" w:rsidRPr="00D2708C">
        <w:t xml:space="preserve"> </w:t>
      </w:r>
      <w:r w:rsidR="00D2708C">
        <w:t>Richland et al., 2006; Thibaut et al., 2010a</w:t>
      </w:r>
      <w:proofErr w:type="gramStart"/>
      <w:r w:rsidR="00D2708C">
        <w:t>,b</w:t>
      </w:r>
      <w:proofErr w:type="gramEnd"/>
      <w:r w:rsidR="00D2708C">
        <w:t xml:space="preserve"> for discussions). The present research </w:t>
      </w:r>
      <w:r w:rsidR="004B25F9">
        <w:t>demonstrates</w:t>
      </w:r>
      <w:r w:rsidR="00D2708C">
        <w:t xml:space="preserve"> that the task</w:t>
      </w:r>
      <w:r w:rsidR="00DF7833">
        <w:t xml:space="preserve"> itself</w:t>
      </w:r>
      <w:r w:rsidR="00DE6DB6">
        <w:t xml:space="preserve"> </w:t>
      </w:r>
      <w:r w:rsidR="00C13C6B">
        <w:t>has</w:t>
      </w:r>
      <w:r w:rsidR="00A966C8">
        <w:t xml:space="preserve"> cognitive constraints </w:t>
      </w:r>
      <w:r w:rsidR="00C13C6B">
        <w:t>which</w:t>
      </w:r>
      <w:r w:rsidR="00A966C8">
        <w:t xml:space="preserve"> </w:t>
      </w:r>
      <w:r w:rsidR="00C13C6B">
        <w:t xml:space="preserve">generate a cognitive load that must be coped with by young children. In other words, for adults and most likely children </w:t>
      </w:r>
      <w:r w:rsidR="004B25F9">
        <w:t>older than</w:t>
      </w:r>
      <w:r w:rsidR="00C13C6B">
        <w:t xml:space="preserve"> 9, </w:t>
      </w:r>
      <w:r w:rsidR="00822927">
        <w:t>the comparison between</w:t>
      </w:r>
      <w:r w:rsidR="00C13C6B">
        <w:t xml:space="preserve"> A-B </w:t>
      </w:r>
      <w:r w:rsidR="00822927">
        <w:t>and</w:t>
      </w:r>
      <w:r w:rsidR="00C13C6B">
        <w:t xml:space="preserve"> C and the potential candidates for a solution</w:t>
      </w:r>
      <w:r w:rsidR="00822927">
        <w:t xml:space="preserve"> is automatically driven by the task instructions (the so-called mapping process), By contrast, for children, temporally leaving aside the instructions “looking for the one that goes with C” in order to</w:t>
      </w:r>
      <w:r w:rsidR="006348BC">
        <w:t xml:space="preserve"> compare A with B, generate</w:t>
      </w:r>
      <w:r w:rsidR="004B25F9">
        <w:t>s</w:t>
      </w:r>
      <w:r w:rsidR="006348BC">
        <w:t xml:space="preserve"> cognitive load.  </w:t>
      </w:r>
      <w:r w:rsidR="0079512A">
        <w:t xml:space="preserve">One might conceive </w:t>
      </w:r>
      <w:r w:rsidR="004B25F9">
        <w:t>of this</w:t>
      </w:r>
      <w:r w:rsidR="0079512A">
        <w:t xml:space="preserve"> as a necessity to temporally inhibit C and the solution set, or as a necessity to be cognitively flexible, that is to be able to conceive the task under different perspectives (i.e., from an A-B perspective or from a C-solution set perspective and integrate these two perspectives</w:t>
      </w:r>
      <w:r w:rsidR="009A17AB">
        <w:t>)</w:t>
      </w:r>
      <w:r w:rsidR="0079512A">
        <w:t>. In sum, the present research has made it clear that the analogy task generate</w:t>
      </w:r>
      <w:r w:rsidR="004B25F9">
        <w:t>s</w:t>
      </w:r>
      <w:r w:rsidR="0079512A">
        <w:t xml:space="preserve"> its own demands that cannot be taken for granted, in the case of children. </w:t>
      </w:r>
    </w:p>
    <w:p w:rsidR="009744E9" w:rsidRDefault="009744E9" w:rsidP="0079512A">
      <w:pPr>
        <w:ind w:firstLine="0"/>
      </w:pPr>
    </w:p>
    <w:p w:rsidR="000B26E6" w:rsidRDefault="000B26E6" w:rsidP="00624D4E">
      <w:pPr>
        <w:pStyle w:val="Titre1"/>
      </w:pPr>
      <w:r>
        <w:t>Acknowledgement</w:t>
      </w:r>
    </w:p>
    <w:p w:rsidR="000B26E6" w:rsidRPr="000B26E6" w:rsidRDefault="00265F15" w:rsidP="0012632D">
      <w:pPr>
        <w:pStyle w:val="NormalSectionStart"/>
      </w:pPr>
      <w:r>
        <w:t xml:space="preserve">This research has been supported by </w:t>
      </w:r>
      <w:r w:rsidR="004B39A5">
        <w:t>a</w:t>
      </w:r>
      <w:r>
        <w:t xml:space="preserve"> French </w:t>
      </w:r>
      <w:r w:rsidR="00F24351">
        <w:t>ANR</w:t>
      </w:r>
      <w:r w:rsidR="004B39A5">
        <w:t xml:space="preserve"> Grant for the </w:t>
      </w:r>
      <w:r w:rsidR="00F24351">
        <w:t>“ANAFONEX”</w:t>
      </w:r>
      <w:r w:rsidR="00965477">
        <w:t xml:space="preserve"> project ANR-10-BLAN-1908-01.</w:t>
      </w:r>
    </w:p>
    <w:p w:rsidR="009744E9" w:rsidRDefault="002D0969" w:rsidP="00033D6F">
      <w:pPr>
        <w:pStyle w:val="Titre1"/>
      </w:pPr>
      <w:r>
        <w:t>References</w:t>
      </w:r>
    </w:p>
    <w:p w:rsidR="00272C3D" w:rsidRPr="00272C3D" w:rsidRDefault="00DF1F98" w:rsidP="00CD31AC">
      <w:pPr>
        <w:pStyle w:val="NormalWeb"/>
        <w:spacing w:before="0" w:beforeAutospacing="0" w:after="0" w:afterAutospacing="0"/>
        <w:ind w:left="142" w:hanging="142"/>
        <w:jc w:val="both"/>
        <w:divId w:val="1396932196"/>
        <w:rPr>
          <w:sz w:val="20"/>
          <w:lang w:val="en-US"/>
        </w:rPr>
      </w:pPr>
      <w:r>
        <w:fldChar w:fldCharType="begin" w:fldLock="1"/>
      </w:r>
      <w:r w:rsidR="00205DAF" w:rsidRPr="00205DAF">
        <w:rPr>
          <w:lang w:val="en-US"/>
        </w:rPr>
        <w:instrText xml:space="preserve">ADDIN Mendeley Bibliography CSL_BIBLIOGRAPHY </w:instrText>
      </w:r>
      <w:r>
        <w:fldChar w:fldCharType="separate"/>
      </w:r>
      <w:r w:rsidR="00272C3D" w:rsidRPr="00272C3D">
        <w:rPr>
          <w:sz w:val="20"/>
          <w:lang w:val="en-US"/>
        </w:rPr>
        <w:t xml:space="preserve">Blaye, A., &amp; Chevalier, N. (2011). The role of goal representation in preschoolers’ flexibility and inhibition. </w:t>
      </w:r>
      <w:r w:rsidR="00272C3D" w:rsidRPr="00272C3D">
        <w:rPr>
          <w:i/>
          <w:iCs/>
          <w:sz w:val="20"/>
          <w:lang w:val="en-US"/>
        </w:rPr>
        <w:t>Journal of experimental child psychology</w:t>
      </w:r>
      <w:r w:rsidR="00272C3D" w:rsidRPr="00272C3D">
        <w:rPr>
          <w:sz w:val="20"/>
          <w:lang w:val="en-US"/>
        </w:rPr>
        <w:t xml:space="preserve">, </w:t>
      </w:r>
      <w:r w:rsidR="00272C3D" w:rsidRPr="00272C3D">
        <w:rPr>
          <w:i/>
          <w:iCs/>
          <w:sz w:val="20"/>
          <w:lang w:val="en-US"/>
        </w:rPr>
        <w:t>108</w:t>
      </w:r>
      <w:r w:rsidR="008A0B8D">
        <w:rPr>
          <w:sz w:val="20"/>
          <w:lang w:val="en-US"/>
        </w:rPr>
        <w:t>(3), 469-83.</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CD31AC">
        <w:rPr>
          <w:sz w:val="20"/>
          <w:lang w:val="en-US"/>
        </w:rPr>
        <w:t>Chalmers, D. J., French, R. M., &amp; Hofstadter, D. R. (1992).</w:t>
      </w:r>
      <w:r w:rsidRPr="00272C3D">
        <w:rPr>
          <w:sz w:val="20"/>
          <w:lang w:val="en-US"/>
        </w:rPr>
        <w:t xml:space="preserve"> High-level perception, representation, and analogy: A </w:t>
      </w:r>
      <w:r w:rsidRPr="00272C3D">
        <w:rPr>
          <w:sz w:val="20"/>
          <w:lang w:val="en-US"/>
        </w:rPr>
        <w:lastRenderedPageBreak/>
        <w:t xml:space="preserve">critique of artificial intelligence methodology. </w:t>
      </w:r>
      <w:r w:rsidRPr="00272C3D">
        <w:rPr>
          <w:i/>
          <w:iCs/>
          <w:sz w:val="20"/>
          <w:lang w:val="en-US"/>
        </w:rPr>
        <w:t>Journal of Experimental &amp; Theoretical Artificial Intelligence</w:t>
      </w:r>
      <w:r w:rsidRPr="00272C3D">
        <w:rPr>
          <w:sz w:val="20"/>
          <w:lang w:val="en-US"/>
        </w:rPr>
        <w:t xml:space="preserve">, </w:t>
      </w:r>
      <w:r w:rsidRPr="00272C3D">
        <w:rPr>
          <w:i/>
          <w:iCs/>
          <w:sz w:val="20"/>
          <w:lang w:val="en-US"/>
        </w:rPr>
        <w:t>4</w:t>
      </w:r>
      <w:r w:rsidRPr="00272C3D">
        <w:rPr>
          <w:sz w:val="20"/>
          <w:lang w:val="en-US"/>
        </w:rPr>
        <w:t>(3), 185-211.</w:t>
      </w:r>
    </w:p>
    <w:p w:rsidR="00272C3D" w:rsidRPr="00272C3D" w:rsidRDefault="00272C3D" w:rsidP="006C110F">
      <w:pPr>
        <w:pStyle w:val="NormalWeb"/>
        <w:spacing w:before="0" w:beforeAutospacing="0" w:after="0" w:afterAutospacing="0"/>
        <w:ind w:left="142" w:hanging="142"/>
        <w:jc w:val="both"/>
        <w:divId w:val="1396932196"/>
        <w:rPr>
          <w:sz w:val="20"/>
          <w:lang w:val="en-US"/>
        </w:rPr>
      </w:pPr>
      <w:r w:rsidRPr="00272C3D">
        <w:rPr>
          <w:sz w:val="20"/>
          <w:lang w:val="en-US"/>
        </w:rPr>
        <w:t xml:space="preserve">French, R. M. (1995). </w:t>
      </w:r>
      <w:r w:rsidRPr="00272C3D">
        <w:rPr>
          <w:i/>
          <w:iCs/>
          <w:sz w:val="20"/>
          <w:lang w:val="en-US"/>
        </w:rPr>
        <w:t>The Subtlety of Sameness: A Theory and Computer Model of Analogy-Making</w:t>
      </w:r>
      <w:r w:rsidRPr="00272C3D">
        <w:rPr>
          <w:sz w:val="20"/>
          <w:lang w:val="en-US"/>
        </w:rPr>
        <w:t>. Cambridge, MA: The MIT Press.</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Gentner, D. (1982). Are scientific analogies metaphors? In D. S. Miall (Ed.), </w:t>
      </w:r>
      <w:r w:rsidRPr="00272C3D">
        <w:rPr>
          <w:i/>
          <w:iCs/>
          <w:sz w:val="20"/>
          <w:lang w:val="en-US"/>
        </w:rPr>
        <w:t>Metaphor: Problems and Perspectives</w:t>
      </w:r>
      <w:r w:rsidRPr="00272C3D">
        <w:rPr>
          <w:sz w:val="20"/>
          <w:lang w:val="en-US"/>
        </w:rPr>
        <w:t xml:space="preserve"> (pp. 106-132). Brighton, England: Harvester Press Ltd.</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Gentner, D. (1988). Metaphor as structure mapping: The relational shift. </w:t>
      </w:r>
      <w:r w:rsidRPr="00272C3D">
        <w:rPr>
          <w:i/>
          <w:iCs/>
          <w:sz w:val="20"/>
          <w:lang w:val="en-US"/>
        </w:rPr>
        <w:t>Child Development</w:t>
      </w:r>
      <w:r w:rsidRPr="00272C3D">
        <w:rPr>
          <w:sz w:val="20"/>
          <w:lang w:val="en-US"/>
        </w:rPr>
        <w:t xml:space="preserve">, </w:t>
      </w:r>
      <w:r w:rsidRPr="00272C3D">
        <w:rPr>
          <w:i/>
          <w:iCs/>
          <w:sz w:val="20"/>
          <w:lang w:val="en-US"/>
        </w:rPr>
        <w:t>59</w:t>
      </w:r>
      <w:r w:rsidRPr="00272C3D">
        <w:rPr>
          <w:sz w:val="20"/>
          <w:lang w:val="en-US"/>
        </w:rPr>
        <w:t>(1), 47-59.</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Gentner, D., &amp; Holyoak, K. J. (1997). Reasoning and learning by analogy. </w:t>
      </w:r>
      <w:r w:rsidRPr="00272C3D">
        <w:rPr>
          <w:i/>
          <w:iCs/>
          <w:sz w:val="20"/>
          <w:lang w:val="en-US"/>
        </w:rPr>
        <w:t>American Psychologist</w:t>
      </w:r>
      <w:r w:rsidRPr="00272C3D">
        <w:rPr>
          <w:sz w:val="20"/>
          <w:lang w:val="en-US"/>
        </w:rPr>
        <w:t xml:space="preserve">, </w:t>
      </w:r>
      <w:r w:rsidRPr="00272C3D">
        <w:rPr>
          <w:i/>
          <w:iCs/>
          <w:sz w:val="20"/>
          <w:lang w:val="en-US"/>
        </w:rPr>
        <w:t>52</w:t>
      </w:r>
      <w:r w:rsidRPr="00272C3D">
        <w:rPr>
          <w:sz w:val="20"/>
          <w:lang w:val="en-US"/>
        </w:rPr>
        <w:t>(1), 32-4.</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Gentner, D., &amp; Rattermann, M. J. (1991). Language and the career of similarity. In S. A. Gelman &amp; J. P. Byrnes (Eds.), </w:t>
      </w:r>
      <w:r w:rsidRPr="00272C3D">
        <w:rPr>
          <w:i/>
          <w:iCs/>
          <w:sz w:val="20"/>
          <w:lang w:val="en-US"/>
        </w:rPr>
        <w:t>Perspectives on Language and Thought: Interrelations in Development</w:t>
      </w:r>
      <w:r w:rsidRPr="00272C3D">
        <w:rPr>
          <w:sz w:val="20"/>
          <w:lang w:val="en-US"/>
        </w:rPr>
        <w:t xml:space="preserve"> (pp. 225-277). New York, NY: Cambridge University Press.</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Gentner, D., Simms, N., &amp; Flusberg, S. (2009). Relational language helps children reason analogically. </w:t>
      </w:r>
      <w:r w:rsidRPr="00272C3D">
        <w:rPr>
          <w:i/>
          <w:iCs/>
          <w:sz w:val="20"/>
          <w:lang w:val="en-US"/>
        </w:rPr>
        <w:t>Proceedings of the 31st annual conference of the Cognitive Science Society</w:t>
      </w:r>
      <w:r w:rsidRPr="00272C3D">
        <w:rPr>
          <w:sz w:val="20"/>
          <w:lang w:val="en-US"/>
        </w:rPr>
        <w:t xml:space="preserve"> (pp. 1054–1059).</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Goswami, U. (1992). </w:t>
      </w:r>
      <w:r w:rsidRPr="00272C3D">
        <w:rPr>
          <w:i/>
          <w:iCs/>
          <w:sz w:val="20"/>
          <w:lang w:val="en-US"/>
        </w:rPr>
        <w:t>Analogical Reasoning in Children</w:t>
      </w:r>
      <w:r w:rsidRPr="00272C3D">
        <w:rPr>
          <w:sz w:val="20"/>
          <w:lang w:val="en-US"/>
        </w:rPr>
        <w:t>. Hillsdale, NJ: Lawrence Erlbaum Associates, Inc.</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Goswami, U., &amp; Brown, A. L. (1990). Melting chocolate and melting snowmen: Analogical reasoning and causal relations. </w:t>
      </w:r>
      <w:r w:rsidRPr="00272C3D">
        <w:rPr>
          <w:i/>
          <w:iCs/>
          <w:sz w:val="20"/>
          <w:lang w:val="en-US"/>
        </w:rPr>
        <w:t>Cognition</w:t>
      </w:r>
      <w:r w:rsidRPr="00272C3D">
        <w:rPr>
          <w:sz w:val="20"/>
          <w:lang w:val="en-US"/>
        </w:rPr>
        <w:t xml:space="preserve">, </w:t>
      </w:r>
      <w:r w:rsidRPr="00272C3D">
        <w:rPr>
          <w:i/>
          <w:iCs/>
          <w:sz w:val="20"/>
          <w:lang w:val="en-US"/>
        </w:rPr>
        <w:t>35</w:t>
      </w:r>
      <w:r w:rsidRPr="00272C3D">
        <w:rPr>
          <w:sz w:val="20"/>
          <w:lang w:val="en-US"/>
        </w:rPr>
        <w:t>(1), 69–95.</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Gruber, O., &amp; Goschke, T. (2004). Executive control emerging from dynamic interactions between brain systems mediating language, working memory and attentional processes. </w:t>
      </w:r>
      <w:r w:rsidRPr="00272C3D">
        <w:rPr>
          <w:i/>
          <w:iCs/>
          <w:sz w:val="20"/>
          <w:lang w:val="en-US"/>
        </w:rPr>
        <w:t>Acta Psychologica</w:t>
      </w:r>
      <w:r w:rsidRPr="00272C3D">
        <w:rPr>
          <w:sz w:val="20"/>
          <w:lang w:val="en-US"/>
        </w:rPr>
        <w:t xml:space="preserve">, </w:t>
      </w:r>
      <w:r w:rsidRPr="00272C3D">
        <w:rPr>
          <w:i/>
          <w:iCs/>
          <w:sz w:val="20"/>
          <w:lang w:val="en-US"/>
        </w:rPr>
        <w:t>115</w:t>
      </w:r>
      <w:r w:rsidRPr="00272C3D">
        <w:rPr>
          <w:sz w:val="20"/>
          <w:lang w:val="en-US"/>
        </w:rPr>
        <w:t>(2-3), 105-21.</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Halford, G. S., Wilson, W. H., &amp; Phillips, S. (1998). Processing capacity defined by relational complexity: implications for comparative, developmental, and cognitive psychology. </w:t>
      </w:r>
      <w:r w:rsidRPr="00272C3D">
        <w:rPr>
          <w:i/>
          <w:iCs/>
          <w:sz w:val="20"/>
          <w:lang w:val="en-US"/>
        </w:rPr>
        <w:t>The Behavioral and Brain Sciences</w:t>
      </w:r>
      <w:r w:rsidRPr="00272C3D">
        <w:rPr>
          <w:sz w:val="20"/>
          <w:lang w:val="en-US"/>
        </w:rPr>
        <w:t xml:space="preserve">, </w:t>
      </w:r>
      <w:r w:rsidRPr="00272C3D">
        <w:rPr>
          <w:i/>
          <w:iCs/>
          <w:sz w:val="20"/>
          <w:lang w:val="en-US"/>
        </w:rPr>
        <w:t>21</w:t>
      </w:r>
      <w:r w:rsidRPr="00272C3D">
        <w:rPr>
          <w:sz w:val="20"/>
          <w:lang w:val="en-US"/>
        </w:rPr>
        <w:t>(6), 803-64.</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Hofstadter, D. R. (1995). </w:t>
      </w:r>
      <w:r w:rsidRPr="00272C3D">
        <w:rPr>
          <w:i/>
          <w:iCs/>
          <w:sz w:val="20"/>
          <w:lang w:val="en-US"/>
        </w:rPr>
        <w:t>Fluid Concepts &amp; Creative Analogies: Computer Models of the Fundamental Mechanisms of Thought</w:t>
      </w:r>
      <w:r w:rsidRPr="00272C3D">
        <w:rPr>
          <w:sz w:val="20"/>
          <w:lang w:val="en-US"/>
        </w:rPr>
        <w:t>. New York, NY: Basic Books.</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Hofstadter, D. R. (2001). Epilogue: Analogy as the core of cognition. In D. Gentner, K. J. Holyoak, &amp; B. Kokinov (Eds.), </w:t>
      </w:r>
      <w:r w:rsidRPr="00272C3D">
        <w:rPr>
          <w:i/>
          <w:iCs/>
          <w:sz w:val="20"/>
          <w:lang w:val="en-US"/>
        </w:rPr>
        <w:t>The Analogical Mind: Perspectives from Cognitive Science</w:t>
      </w:r>
      <w:r w:rsidRPr="00272C3D">
        <w:rPr>
          <w:sz w:val="20"/>
          <w:lang w:val="en-US"/>
        </w:rPr>
        <w:t>. Cambridge, MA: The MIT Press.</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Holyoak, K. J., Junn, E. N., &amp; Billman, D. O. (1984). Development of analogical problem-solving skill. </w:t>
      </w:r>
      <w:r w:rsidRPr="00272C3D">
        <w:rPr>
          <w:i/>
          <w:iCs/>
          <w:sz w:val="20"/>
          <w:lang w:val="en-US"/>
        </w:rPr>
        <w:t>Child Development</w:t>
      </w:r>
      <w:r w:rsidRPr="00272C3D">
        <w:rPr>
          <w:sz w:val="20"/>
          <w:lang w:val="en-US"/>
        </w:rPr>
        <w:t xml:space="preserve">, </w:t>
      </w:r>
      <w:r w:rsidRPr="00272C3D">
        <w:rPr>
          <w:i/>
          <w:iCs/>
          <w:sz w:val="20"/>
          <w:lang w:val="en-US"/>
        </w:rPr>
        <w:t>55</w:t>
      </w:r>
      <w:r w:rsidRPr="00272C3D">
        <w:rPr>
          <w:sz w:val="20"/>
          <w:lang w:val="en-US"/>
        </w:rPr>
        <w:t>(6), 2042–2055.</w:t>
      </w:r>
    </w:p>
    <w:p w:rsidR="00EB7F42"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lastRenderedPageBreak/>
        <w:t xml:space="preserve">Loewenstein, J., &amp; Gentner, D. (2005). Relational language and the development of relational mapping. </w:t>
      </w:r>
      <w:r w:rsidRPr="00272C3D">
        <w:rPr>
          <w:i/>
          <w:iCs/>
          <w:sz w:val="20"/>
          <w:lang w:val="en-US"/>
        </w:rPr>
        <w:t>Cognitive psychology</w:t>
      </w:r>
      <w:r w:rsidRPr="00272C3D">
        <w:rPr>
          <w:sz w:val="20"/>
          <w:lang w:val="en-US"/>
        </w:rPr>
        <w:t xml:space="preserve">, </w:t>
      </w:r>
      <w:r w:rsidRPr="00272C3D">
        <w:rPr>
          <w:i/>
          <w:iCs/>
          <w:sz w:val="20"/>
          <w:lang w:val="en-US"/>
        </w:rPr>
        <w:t>50</w:t>
      </w:r>
      <w:r w:rsidRPr="00272C3D">
        <w:rPr>
          <w:sz w:val="20"/>
          <w:lang w:val="en-US"/>
        </w:rPr>
        <w:t xml:space="preserve">(4), 315-53. </w:t>
      </w:r>
      <w:r w:rsidR="00EB7F42">
        <w:rPr>
          <w:sz w:val="20"/>
          <w:lang w:val="en-US"/>
        </w:rPr>
        <w:t xml:space="preserve"> </w:t>
      </w:r>
    </w:p>
    <w:p w:rsidR="00272C3D" w:rsidRPr="00272C3D" w:rsidRDefault="00272C3D" w:rsidP="00EB7F42">
      <w:pPr>
        <w:pStyle w:val="NormalWeb"/>
        <w:spacing w:before="0" w:beforeAutospacing="0" w:after="0" w:afterAutospacing="0"/>
        <w:ind w:left="142" w:hanging="142"/>
        <w:jc w:val="both"/>
        <w:divId w:val="1396932196"/>
        <w:rPr>
          <w:sz w:val="20"/>
          <w:lang w:val="en-US"/>
        </w:rPr>
      </w:pPr>
      <w:r w:rsidRPr="00272C3D">
        <w:rPr>
          <w:sz w:val="20"/>
          <w:lang w:val="en-US"/>
        </w:rPr>
        <w:t xml:space="preserve">Mitchell, M. (1993). </w:t>
      </w:r>
      <w:r w:rsidRPr="00272C3D">
        <w:rPr>
          <w:i/>
          <w:iCs/>
          <w:sz w:val="20"/>
          <w:lang w:val="en-US"/>
        </w:rPr>
        <w:t>Analogy-Making as Perception</w:t>
      </w:r>
      <w:r w:rsidRPr="00272C3D">
        <w:rPr>
          <w:sz w:val="20"/>
          <w:lang w:val="en-US"/>
        </w:rPr>
        <w:t>. Cambridge, MA: The MIT Press.</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Murphy, G. L., &amp; Medin, D. L. (1985). The role of theories in conceptual coherence. </w:t>
      </w:r>
      <w:r w:rsidRPr="00272C3D">
        <w:rPr>
          <w:i/>
          <w:iCs/>
          <w:sz w:val="20"/>
          <w:lang w:val="en-US"/>
        </w:rPr>
        <w:t>Psychological Review</w:t>
      </w:r>
      <w:r w:rsidRPr="00272C3D">
        <w:rPr>
          <w:sz w:val="20"/>
          <w:lang w:val="en-US"/>
        </w:rPr>
        <w:t xml:space="preserve">, </w:t>
      </w:r>
      <w:r w:rsidRPr="00272C3D">
        <w:rPr>
          <w:i/>
          <w:iCs/>
          <w:sz w:val="20"/>
          <w:lang w:val="en-US"/>
        </w:rPr>
        <w:t>92</w:t>
      </w:r>
      <w:r w:rsidRPr="00272C3D">
        <w:rPr>
          <w:sz w:val="20"/>
          <w:lang w:val="en-US"/>
        </w:rPr>
        <w:t>(3), 289-316.</w:t>
      </w:r>
    </w:p>
    <w:p w:rsidR="00272C3D" w:rsidRPr="00272C3D" w:rsidRDefault="00272C3D" w:rsidP="00CD31AC">
      <w:pPr>
        <w:pStyle w:val="NormalWeb"/>
        <w:spacing w:before="0" w:beforeAutospacing="0" w:after="0" w:afterAutospacing="0"/>
        <w:ind w:left="142" w:hanging="142"/>
        <w:jc w:val="both"/>
        <w:divId w:val="1396932196"/>
        <w:rPr>
          <w:sz w:val="20"/>
        </w:rPr>
      </w:pPr>
      <w:r w:rsidRPr="00272C3D">
        <w:rPr>
          <w:sz w:val="20"/>
          <w:lang w:val="en-US"/>
        </w:rPr>
        <w:t xml:space="preserve">Richland, L. E., Morrison, R. G., &amp; Holyoak, K. J. (2006). Children’s Development of Analogical Reasoning: Insights from Scene Analogy Problems. </w:t>
      </w:r>
      <w:r w:rsidRPr="00272C3D">
        <w:rPr>
          <w:i/>
          <w:iCs/>
          <w:sz w:val="20"/>
        </w:rPr>
        <w:t>Journal of Experimental Child Psychology</w:t>
      </w:r>
      <w:r w:rsidRPr="00272C3D">
        <w:rPr>
          <w:sz w:val="20"/>
        </w:rPr>
        <w:t xml:space="preserve">, </w:t>
      </w:r>
      <w:r w:rsidRPr="00272C3D">
        <w:rPr>
          <w:i/>
          <w:iCs/>
          <w:sz w:val="20"/>
        </w:rPr>
        <w:t>94</w:t>
      </w:r>
      <w:r w:rsidRPr="00272C3D">
        <w:rPr>
          <w:sz w:val="20"/>
        </w:rPr>
        <w:t>(3), 249-273.</w:t>
      </w:r>
    </w:p>
    <w:p w:rsidR="00272C3D" w:rsidRPr="00272C3D" w:rsidRDefault="00272C3D" w:rsidP="00CD31AC">
      <w:pPr>
        <w:pStyle w:val="NormalWeb"/>
        <w:spacing w:before="0" w:beforeAutospacing="0" w:after="0" w:afterAutospacing="0"/>
        <w:ind w:left="142" w:hanging="142"/>
        <w:jc w:val="both"/>
        <w:divId w:val="1396932196"/>
        <w:rPr>
          <w:sz w:val="20"/>
        </w:rPr>
      </w:pPr>
      <w:r w:rsidRPr="00272C3D">
        <w:rPr>
          <w:sz w:val="20"/>
        </w:rPr>
        <w:t xml:space="preserve">Thibaut, J.-P. (1997). Similarité et catégorisation. </w:t>
      </w:r>
      <w:r w:rsidRPr="00272C3D">
        <w:rPr>
          <w:i/>
          <w:iCs/>
          <w:sz w:val="20"/>
        </w:rPr>
        <w:t>L’Année Psychologique</w:t>
      </w:r>
      <w:r w:rsidRPr="00272C3D">
        <w:rPr>
          <w:sz w:val="20"/>
        </w:rPr>
        <w:t xml:space="preserve">, </w:t>
      </w:r>
      <w:r w:rsidRPr="00272C3D">
        <w:rPr>
          <w:i/>
          <w:iCs/>
          <w:sz w:val="20"/>
        </w:rPr>
        <w:t>97</w:t>
      </w:r>
      <w:r w:rsidRPr="00272C3D">
        <w:rPr>
          <w:sz w:val="20"/>
        </w:rPr>
        <w:t>, 701-736.</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rPr>
        <w:t xml:space="preserve">Thibaut, J.-P., French, R. M., &amp; Vezneva, M. (2009). </w:t>
      </w:r>
      <w:r w:rsidRPr="00272C3D">
        <w:rPr>
          <w:sz w:val="20"/>
          <w:lang w:val="en-US"/>
        </w:rPr>
        <w:t>Cognitive Load</w:t>
      </w:r>
      <w:r w:rsidR="0012632D">
        <w:rPr>
          <w:sz w:val="20"/>
          <w:lang w:val="en-US"/>
        </w:rPr>
        <w:t xml:space="preserve"> and Analogy-making in Children</w:t>
      </w:r>
      <w:r w:rsidRPr="00272C3D">
        <w:rPr>
          <w:sz w:val="20"/>
          <w:lang w:val="en-US"/>
        </w:rPr>
        <w:t xml:space="preserve">: Explaining an Unexpected Interaction. In N. Taatgen &amp; H. van Rijn (Eds.), </w:t>
      </w:r>
      <w:r w:rsidRPr="00272C3D">
        <w:rPr>
          <w:i/>
          <w:iCs/>
          <w:sz w:val="20"/>
          <w:lang w:val="en-US"/>
        </w:rPr>
        <w:t>Proceedings of the Thirty-first Annual Cognitive Science Society Conference</w:t>
      </w:r>
      <w:r w:rsidRPr="00272C3D">
        <w:rPr>
          <w:sz w:val="20"/>
          <w:lang w:val="en-US"/>
        </w:rPr>
        <w:t xml:space="preserve"> (pp. 1048-1053).</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Thibaut, J.-P., French, R. M., &amp; Vezneva, M. (2010a). The development of analogy making in children: cognitive load and executive functions. </w:t>
      </w:r>
      <w:r w:rsidRPr="00272C3D">
        <w:rPr>
          <w:i/>
          <w:iCs/>
          <w:sz w:val="20"/>
          <w:lang w:val="en-US"/>
        </w:rPr>
        <w:t>Journal of Experimental Child Psychology</w:t>
      </w:r>
      <w:r w:rsidRPr="00272C3D">
        <w:rPr>
          <w:sz w:val="20"/>
          <w:lang w:val="en-US"/>
        </w:rPr>
        <w:t xml:space="preserve">, </w:t>
      </w:r>
      <w:r w:rsidRPr="00272C3D">
        <w:rPr>
          <w:i/>
          <w:iCs/>
          <w:sz w:val="20"/>
          <w:lang w:val="en-US"/>
        </w:rPr>
        <w:t>106</w:t>
      </w:r>
      <w:r w:rsidRPr="00272C3D">
        <w:rPr>
          <w:sz w:val="20"/>
          <w:lang w:val="en-US"/>
        </w:rPr>
        <w:t>(1), 1-19.</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Thibaut, J.-P., French, R. M., &amp; Vezneva, M. (2010b). Cognitive load and semantic analogies: Searching semantic space. </w:t>
      </w:r>
      <w:r w:rsidRPr="00272C3D">
        <w:rPr>
          <w:i/>
          <w:iCs/>
          <w:sz w:val="20"/>
          <w:lang w:val="en-US"/>
        </w:rPr>
        <w:t>Psychonomic Bulletin &amp; Review</w:t>
      </w:r>
      <w:r w:rsidRPr="00272C3D">
        <w:rPr>
          <w:sz w:val="20"/>
          <w:lang w:val="en-US"/>
        </w:rPr>
        <w:t xml:space="preserve">, </w:t>
      </w:r>
      <w:r w:rsidRPr="00272C3D">
        <w:rPr>
          <w:i/>
          <w:iCs/>
          <w:sz w:val="20"/>
          <w:lang w:val="en-US"/>
        </w:rPr>
        <w:t>17</w:t>
      </w:r>
      <w:r w:rsidRPr="00272C3D">
        <w:rPr>
          <w:sz w:val="20"/>
          <w:lang w:val="en-US"/>
        </w:rPr>
        <w:t>(4), 569-74.</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Thibaut, J.-P., French, R. M., Missault, A., Gérard, Y., &amp; Glady, Y. (2011). In the Eyes of the Beholder: What Eye-Tracking Reveals About Analogy-Making Strategies in Children and Adults. </w:t>
      </w:r>
      <w:r w:rsidRPr="00272C3D">
        <w:rPr>
          <w:i/>
          <w:iCs/>
          <w:sz w:val="20"/>
          <w:lang w:val="en-US"/>
        </w:rPr>
        <w:t>Proceedings of the Thirty-third Annual Meeting of the Cognitive Science Society</w:t>
      </w:r>
      <w:r w:rsidRPr="00272C3D">
        <w:rPr>
          <w:sz w:val="20"/>
          <w:lang w:val="en-US"/>
        </w:rPr>
        <w:t xml:space="preserve"> (pp. 453–458).</w:t>
      </w:r>
    </w:p>
    <w:p w:rsidR="00272C3D" w:rsidRPr="00272C3D" w:rsidRDefault="00272C3D" w:rsidP="00CD31AC">
      <w:pPr>
        <w:pStyle w:val="NormalWeb"/>
        <w:spacing w:before="0" w:beforeAutospacing="0" w:after="0" w:afterAutospacing="0"/>
        <w:ind w:left="142" w:hanging="142"/>
        <w:jc w:val="both"/>
        <w:divId w:val="1396932196"/>
        <w:rPr>
          <w:sz w:val="20"/>
          <w:lang w:val="en-US"/>
        </w:rPr>
      </w:pPr>
      <w:r w:rsidRPr="00272C3D">
        <w:rPr>
          <w:sz w:val="20"/>
          <w:lang w:val="en-US"/>
        </w:rPr>
        <w:t xml:space="preserve">Thibaut, J.-P., French, R. M., Vezneva, M., Gérard, Y., &amp; Glady, Y. (2011). Semantic analogies by young children: testing the role of inhibition. In B. Kokinov, A. Karmiloff-Smith, &amp; N. J. Nersessian (Eds.), </w:t>
      </w:r>
      <w:r w:rsidRPr="00272C3D">
        <w:rPr>
          <w:i/>
          <w:iCs/>
          <w:sz w:val="20"/>
          <w:lang w:val="en-US"/>
        </w:rPr>
        <w:t>European Perspectives on Cognitive Science</w:t>
      </w:r>
      <w:r w:rsidRPr="00272C3D">
        <w:rPr>
          <w:sz w:val="20"/>
          <w:lang w:val="en-US"/>
        </w:rPr>
        <w:t>. New Bulgarian University Press.</w:t>
      </w:r>
    </w:p>
    <w:p w:rsidR="00272C3D" w:rsidRPr="00272C3D" w:rsidRDefault="00272C3D" w:rsidP="00CD31AC">
      <w:pPr>
        <w:pStyle w:val="NormalWeb"/>
        <w:spacing w:before="0" w:beforeAutospacing="0" w:after="0" w:afterAutospacing="0"/>
        <w:ind w:left="142" w:hanging="142"/>
        <w:jc w:val="both"/>
        <w:divId w:val="1396932196"/>
        <w:rPr>
          <w:sz w:val="20"/>
        </w:rPr>
      </w:pPr>
      <w:r w:rsidRPr="00272C3D">
        <w:rPr>
          <w:sz w:val="20"/>
          <w:lang w:val="en-US"/>
        </w:rPr>
        <w:t xml:space="preserve">Vosniadou, S. (1995). Analogical reasoning in cognitive development. </w:t>
      </w:r>
      <w:r w:rsidRPr="00272C3D">
        <w:rPr>
          <w:i/>
          <w:iCs/>
          <w:sz w:val="20"/>
        </w:rPr>
        <w:t>Metaphor and Symbolic Activity</w:t>
      </w:r>
      <w:r w:rsidRPr="00272C3D">
        <w:rPr>
          <w:sz w:val="20"/>
        </w:rPr>
        <w:t xml:space="preserve">, </w:t>
      </w:r>
      <w:r w:rsidRPr="00272C3D">
        <w:rPr>
          <w:i/>
          <w:iCs/>
          <w:sz w:val="20"/>
        </w:rPr>
        <w:t>10</w:t>
      </w:r>
      <w:r w:rsidRPr="00272C3D">
        <w:rPr>
          <w:sz w:val="20"/>
        </w:rPr>
        <w:t>(4), 297-308.</w:t>
      </w:r>
    </w:p>
    <w:p w:rsidR="00735950" w:rsidRDefault="00DF1F98" w:rsidP="00CD31AC">
      <w:pPr>
        <w:pStyle w:val="NormalWeb"/>
        <w:spacing w:before="0" w:beforeAutospacing="0" w:after="0" w:afterAutospacing="0"/>
        <w:ind w:left="142" w:hanging="142"/>
        <w:jc w:val="both"/>
      </w:pPr>
      <w:r>
        <w:fldChar w:fldCharType="end"/>
      </w:r>
    </w:p>
    <w:p w:rsidR="00033D6F" w:rsidRDefault="00033D6F">
      <w:pPr>
        <w:suppressAutoHyphens w:val="0"/>
        <w:ind w:firstLine="0"/>
        <w:jc w:val="left"/>
        <w:rPr>
          <w:rFonts w:eastAsia="Times New Roman"/>
          <w:b/>
          <w:sz w:val="24"/>
        </w:rPr>
      </w:pPr>
      <w:r>
        <w:br w:type="page"/>
      </w:r>
    </w:p>
    <w:p w:rsidR="00033D6F" w:rsidRDefault="00033D6F" w:rsidP="00033D6F">
      <w:pPr>
        <w:pStyle w:val="Titre1"/>
        <w:sectPr w:rsidR="00033D6F" w:rsidSect="00F47BCE">
          <w:footnotePr>
            <w:pos w:val="beneathText"/>
          </w:footnotePr>
          <w:type w:val="continuous"/>
          <w:pgSz w:w="12240" w:h="15840"/>
          <w:pgMar w:top="1440" w:right="1080" w:bottom="1080" w:left="1080" w:header="1440" w:footer="1080" w:gutter="0"/>
          <w:cols w:num="2" w:space="360"/>
          <w:docGrid w:linePitch="360"/>
        </w:sectPr>
      </w:pPr>
    </w:p>
    <w:p w:rsidR="00033D6F" w:rsidRDefault="00CE1E19" w:rsidP="00CE1E19">
      <w:pPr>
        <w:pStyle w:val="Titre1"/>
        <w:numPr>
          <w:ilvl w:val="0"/>
          <w:numId w:val="0"/>
        </w:numPr>
        <w:ind w:left="3600"/>
        <w:jc w:val="both"/>
      </w:pPr>
      <w:r>
        <w:lastRenderedPageBreak/>
        <w:t xml:space="preserve">          </w:t>
      </w:r>
      <w:r w:rsidR="00033D6F">
        <w:t>Appendix</w:t>
      </w:r>
      <w:r w:rsidR="00C92A14">
        <w:t>:</w:t>
      </w:r>
    </w:p>
    <w:p w:rsidR="00033D6F" w:rsidRPr="00C92A14" w:rsidRDefault="00033D6F" w:rsidP="00CD31AC">
      <w:pPr>
        <w:pStyle w:val="NormalWeb"/>
        <w:spacing w:before="0" w:beforeAutospacing="0" w:after="0" w:afterAutospacing="0"/>
        <w:ind w:left="142" w:hanging="142"/>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411"/>
        <w:gridCol w:w="1999"/>
        <w:gridCol w:w="1488"/>
        <w:gridCol w:w="1518"/>
        <w:gridCol w:w="1709"/>
      </w:tblGrid>
      <w:tr w:rsidR="00C92A14" w:rsidTr="00C92A14">
        <w:trPr>
          <w:trHeight w:val="463"/>
        </w:trPr>
        <w:tc>
          <w:tcPr>
            <w:tcW w:w="1381" w:type="dxa"/>
            <w:vAlign w:val="center"/>
          </w:tcPr>
          <w:p w:rsidR="00033D6F" w:rsidRPr="00AF5567" w:rsidRDefault="00033D6F" w:rsidP="00C92A14">
            <w:pPr>
              <w:jc w:val="center"/>
              <w:rPr>
                <w:b/>
              </w:rPr>
            </w:pPr>
            <w:r w:rsidRPr="00AF5567">
              <w:rPr>
                <w:b/>
              </w:rPr>
              <w:t>A</w:t>
            </w:r>
          </w:p>
        </w:tc>
        <w:tc>
          <w:tcPr>
            <w:tcW w:w="1411" w:type="dxa"/>
            <w:vAlign w:val="center"/>
          </w:tcPr>
          <w:p w:rsidR="00033D6F" w:rsidRPr="00AF5567" w:rsidRDefault="00033D6F" w:rsidP="00C92A14">
            <w:pPr>
              <w:jc w:val="center"/>
              <w:rPr>
                <w:b/>
              </w:rPr>
            </w:pPr>
            <w:r w:rsidRPr="00AF5567">
              <w:rPr>
                <w:b/>
              </w:rPr>
              <w:t>B</w:t>
            </w:r>
          </w:p>
        </w:tc>
        <w:tc>
          <w:tcPr>
            <w:tcW w:w="1999" w:type="dxa"/>
            <w:vAlign w:val="center"/>
          </w:tcPr>
          <w:p w:rsidR="00033D6F" w:rsidRPr="00AF5567" w:rsidRDefault="00033D6F" w:rsidP="00C92A14">
            <w:pPr>
              <w:jc w:val="center"/>
              <w:rPr>
                <w:b/>
              </w:rPr>
            </w:pPr>
            <w:r w:rsidRPr="00AF5567">
              <w:rPr>
                <w:b/>
              </w:rPr>
              <w:t>C</w:t>
            </w:r>
          </w:p>
        </w:tc>
        <w:tc>
          <w:tcPr>
            <w:tcW w:w="1488" w:type="dxa"/>
            <w:vAlign w:val="center"/>
          </w:tcPr>
          <w:p w:rsidR="00033D6F" w:rsidRPr="00AF5567" w:rsidRDefault="00A70991" w:rsidP="00C92A14">
            <w:pPr>
              <w:jc w:val="center"/>
              <w:rPr>
                <w:b/>
              </w:rPr>
            </w:pPr>
            <w:r>
              <w:rPr>
                <w:b/>
              </w:rPr>
              <w:t>D (Target)</w:t>
            </w:r>
          </w:p>
        </w:tc>
        <w:tc>
          <w:tcPr>
            <w:tcW w:w="1518" w:type="dxa"/>
            <w:vAlign w:val="center"/>
          </w:tcPr>
          <w:p w:rsidR="00033D6F" w:rsidRPr="00AF5567" w:rsidRDefault="00E4773F" w:rsidP="00E4773F">
            <w:pPr>
              <w:rPr>
                <w:b/>
              </w:rPr>
            </w:pPr>
            <w:r>
              <w:rPr>
                <w:b/>
              </w:rPr>
              <w:t xml:space="preserve">Semantic </w:t>
            </w:r>
            <w:r w:rsidR="00033D6F" w:rsidRPr="00AF5567">
              <w:rPr>
                <w:b/>
              </w:rPr>
              <w:t>Dis</w:t>
            </w:r>
            <w:r w:rsidR="00EB44D4">
              <w:rPr>
                <w:b/>
              </w:rPr>
              <w:t>tractor</w:t>
            </w:r>
          </w:p>
        </w:tc>
        <w:tc>
          <w:tcPr>
            <w:tcW w:w="1709" w:type="dxa"/>
            <w:vAlign w:val="center"/>
          </w:tcPr>
          <w:p w:rsidR="00033D6F" w:rsidRPr="00AF5567" w:rsidRDefault="00033D6F" w:rsidP="00C92A14">
            <w:pPr>
              <w:jc w:val="center"/>
              <w:rPr>
                <w:b/>
              </w:rPr>
            </w:pPr>
            <w:r w:rsidRPr="00AF5567">
              <w:rPr>
                <w:b/>
              </w:rPr>
              <w:t>Relation</w:t>
            </w:r>
          </w:p>
        </w:tc>
      </w:tr>
      <w:tr w:rsidR="001651A4" w:rsidTr="00E87891">
        <w:trPr>
          <w:trHeight w:val="463"/>
        </w:trPr>
        <w:tc>
          <w:tcPr>
            <w:tcW w:w="9506" w:type="dxa"/>
            <w:gridSpan w:val="6"/>
            <w:vAlign w:val="center"/>
          </w:tcPr>
          <w:p w:rsidR="001651A4" w:rsidRPr="00CE1E19" w:rsidRDefault="001651A4" w:rsidP="00C92A14">
            <w:pPr>
              <w:jc w:val="center"/>
              <w:rPr>
                <w:b/>
              </w:rPr>
            </w:pPr>
            <w:r w:rsidRPr="00CE1E19">
              <w:rPr>
                <w:b/>
              </w:rPr>
              <w:t>Practice trials</w:t>
            </w:r>
          </w:p>
        </w:tc>
      </w:tr>
      <w:tr w:rsidR="001651A4" w:rsidTr="00C92A14">
        <w:trPr>
          <w:trHeight w:val="463"/>
        </w:trPr>
        <w:tc>
          <w:tcPr>
            <w:tcW w:w="1381" w:type="dxa"/>
            <w:vAlign w:val="center"/>
          </w:tcPr>
          <w:p w:rsidR="001651A4" w:rsidRPr="00AF5567" w:rsidRDefault="00CE1E19" w:rsidP="00C92A14">
            <w:pPr>
              <w:jc w:val="center"/>
              <w:rPr>
                <w:rFonts w:cs="Calibri"/>
                <w:color w:val="000000"/>
              </w:rPr>
            </w:pPr>
            <w:r>
              <w:rPr>
                <w:rFonts w:cs="Calibri"/>
                <w:color w:val="000000"/>
              </w:rPr>
              <w:t>Wolf</w:t>
            </w:r>
          </w:p>
        </w:tc>
        <w:tc>
          <w:tcPr>
            <w:tcW w:w="1411" w:type="dxa"/>
            <w:vAlign w:val="center"/>
          </w:tcPr>
          <w:p w:rsidR="001651A4" w:rsidRPr="00AF5567" w:rsidRDefault="00CE1E19" w:rsidP="00C92A14">
            <w:pPr>
              <w:jc w:val="center"/>
              <w:rPr>
                <w:rFonts w:cs="Calibri"/>
                <w:color w:val="000000"/>
              </w:rPr>
            </w:pPr>
            <w:r>
              <w:rPr>
                <w:rFonts w:cs="Calibri"/>
                <w:color w:val="000000"/>
              </w:rPr>
              <w:t>Meat</w:t>
            </w:r>
          </w:p>
        </w:tc>
        <w:tc>
          <w:tcPr>
            <w:tcW w:w="1999" w:type="dxa"/>
            <w:vAlign w:val="center"/>
          </w:tcPr>
          <w:p w:rsidR="001651A4" w:rsidRPr="00AF5567" w:rsidRDefault="00CE1E19" w:rsidP="00C92A14">
            <w:pPr>
              <w:jc w:val="center"/>
              <w:rPr>
                <w:rFonts w:cs="Calibri"/>
                <w:color w:val="000000"/>
              </w:rPr>
            </w:pPr>
            <w:r>
              <w:rPr>
                <w:rFonts w:cs="Calibri"/>
                <w:color w:val="000000"/>
              </w:rPr>
              <w:t>Goat</w:t>
            </w:r>
          </w:p>
        </w:tc>
        <w:tc>
          <w:tcPr>
            <w:tcW w:w="1488" w:type="dxa"/>
            <w:vAlign w:val="center"/>
          </w:tcPr>
          <w:p w:rsidR="001651A4" w:rsidRDefault="00CE1E19" w:rsidP="00C92A14">
            <w:pPr>
              <w:jc w:val="center"/>
            </w:pPr>
            <w:r>
              <w:t>Grass</w:t>
            </w:r>
          </w:p>
        </w:tc>
        <w:tc>
          <w:tcPr>
            <w:tcW w:w="1518" w:type="dxa"/>
            <w:vAlign w:val="center"/>
          </w:tcPr>
          <w:p w:rsidR="001651A4" w:rsidRDefault="00CE1E19" w:rsidP="00C92A14">
            <w:pPr>
              <w:jc w:val="center"/>
            </w:pPr>
            <w:r>
              <w:t>Horns</w:t>
            </w:r>
          </w:p>
        </w:tc>
        <w:tc>
          <w:tcPr>
            <w:tcW w:w="1709" w:type="dxa"/>
            <w:vAlign w:val="center"/>
          </w:tcPr>
          <w:p w:rsidR="001651A4" w:rsidRPr="00AF5567" w:rsidRDefault="00CE1E19" w:rsidP="00C92A14">
            <w:pPr>
              <w:jc w:val="center"/>
              <w:rPr>
                <w:i/>
              </w:rPr>
            </w:pPr>
            <w:r>
              <w:rPr>
                <w:i/>
              </w:rPr>
              <w:t>Eat</w:t>
            </w:r>
          </w:p>
        </w:tc>
      </w:tr>
      <w:tr w:rsidR="001651A4" w:rsidTr="00C92A14">
        <w:trPr>
          <w:trHeight w:val="463"/>
        </w:trPr>
        <w:tc>
          <w:tcPr>
            <w:tcW w:w="1381" w:type="dxa"/>
            <w:vAlign w:val="center"/>
          </w:tcPr>
          <w:p w:rsidR="001651A4" w:rsidRPr="00AF5567" w:rsidRDefault="00CE1E19" w:rsidP="00C92A14">
            <w:pPr>
              <w:jc w:val="center"/>
              <w:rPr>
                <w:rFonts w:cs="Calibri"/>
                <w:color w:val="000000"/>
              </w:rPr>
            </w:pPr>
            <w:r>
              <w:rPr>
                <w:rFonts w:cs="Calibri"/>
                <w:color w:val="000000"/>
              </w:rPr>
              <w:t>Child</w:t>
            </w:r>
          </w:p>
        </w:tc>
        <w:tc>
          <w:tcPr>
            <w:tcW w:w="1411" w:type="dxa"/>
            <w:vAlign w:val="center"/>
          </w:tcPr>
          <w:p w:rsidR="001651A4" w:rsidRPr="00AF5567" w:rsidRDefault="00CE1E19" w:rsidP="00C92A14">
            <w:pPr>
              <w:jc w:val="center"/>
              <w:rPr>
                <w:rFonts w:cs="Calibri"/>
                <w:color w:val="000000"/>
              </w:rPr>
            </w:pPr>
            <w:r>
              <w:rPr>
                <w:rFonts w:cs="Calibri"/>
                <w:color w:val="000000"/>
              </w:rPr>
              <w:t>Foot</w:t>
            </w:r>
          </w:p>
        </w:tc>
        <w:tc>
          <w:tcPr>
            <w:tcW w:w="1999" w:type="dxa"/>
            <w:vAlign w:val="center"/>
          </w:tcPr>
          <w:p w:rsidR="001651A4" w:rsidRPr="00AF5567" w:rsidRDefault="00CE1E19" w:rsidP="00C92A14">
            <w:pPr>
              <w:jc w:val="center"/>
              <w:rPr>
                <w:rFonts w:cs="Calibri"/>
                <w:color w:val="000000"/>
              </w:rPr>
            </w:pPr>
            <w:r>
              <w:rPr>
                <w:rFonts w:cs="Calibri"/>
                <w:color w:val="000000"/>
              </w:rPr>
              <w:t>Elephant</w:t>
            </w:r>
          </w:p>
        </w:tc>
        <w:tc>
          <w:tcPr>
            <w:tcW w:w="1488" w:type="dxa"/>
            <w:vAlign w:val="center"/>
          </w:tcPr>
          <w:p w:rsidR="001651A4" w:rsidRDefault="00CE1E19" w:rsidP="00CE1E19">
            <w:pPr>
              <w:jc w:val="center"/>
            </w:pPr>
            <w:r>
              <w:t>Paw</w:t>
            </w:r>
          </w:p>
        </w:tc>
        <w:tc>
          <w:tcPr>
            <w:tcW w:w="1518" w:type="dxa"/>
            <w:vAlign w:val="center"/>
          </w:tcPr>
          <w:p w:rsidR="001651A4" w:rsidRDefault="00CE1E19" w:rsidP="00C92A14">
            <w:pPr>
              <w:jc w:val="center"/>
            </w:pPr>
            <w:r>
              <w:t>Giraffe</w:t>
            </w:r>
          </w:p>
        </w:tc>
        <w:tc>
          <w:tcPr>
            <w:tcW w:w="1709" w:type="dxa"/>
            <w:vAlign w:val="center"/>
          </w:tcPr>
          <w:p w:rsidR="001651A4" w:rsidRPr="00AF5567" w:rsidRDefault="00CE1E19" w:rsidP="00C92A14">
            <w:pPr>
              <w:jc w:val="center"/>
              <w:rPr>
                <w:i/>
              </w:rPr>
            </w:pPr>
            <w:r>
              <w:rPr>
                <w:i/>
              </w:rPr>
              <w:t>Part of</w:t>
            </w:r>
          </w:p>
        </w:tc>
      </w:tr>
      <w:tr w:rsidR="00CE1E19" w:rsidTr="00823B6B">
        <w:trPr>
          <w:trHeight w:val="463"/>
        </w:trPr>
        <w:tc>
          <w:tcPr>
            <w:tcW w:w="9506" w:type="dxa"/>
            <w:gridSpan w:val="6"/>
            <w:vAlign w:val="center"/>
          </w:tcPr>
          <w:p w:rsidR="00CE1E19" w:rsidRPr="00CE1E19" w:rsidRDefault="00CE1E19" w:rsidP="00C92A14">
            <w:pPr>
              <w:jc w:val="center"/>
              <w:rPr>
                <w:b/>
              </w:rPr>
            </w:pPr>
            <w:r>
              <w:rPr>
                <w:b/>
              </w:rPr>
              <w:t>Experiment trials</w:t>
            </w:r>
          </w:p>
        </w:tc>
      </w:tr>
      <w:tr w:rsidR="00C92A14" w:rsidTr="00C92A14">
        <w:trPr>
          <w:trHeight w:val="463"/>
        </w:trPr>
        <w:tc>
          <w:tcPr>
            <w:tcW w:w="1381" w:type="dxa"/>
            <w:vAlign w:val="center"/>
          </w:tcPr>
          <w:p w:rsidR="00033D6F" w:rsidRPr="00AF5567" w:rsidRDefault="00033D6F" w:rsidP="00C92A14">
            <w:pPr>
              <w:jc w:val="center"/>
              <w:rPr>
                <w:rFonts w:cs="Calibri"/>
                <w:color w:val="000000"/>
              </w:rPr>
            </w:pPr>
            <w:r w:rsidRPr="00AF5567">
              <w:rPr>
                <w:rFonts w:cs="Calibri"/>
                <w:color w:val="000000"/>
              </w:rPr>
              <w:t>Shirt</w:t>
            </w:r>
          </w:p>
        </w:tc>
        <w:tc>
          <w:tcPr>
            <w:tcW w:w="1411" w:type="dxa"/>
            <w:vAlign w:val="center"/>
          </w:tcPr>
          <w:p w:rsidR="00033D6F" w:rsidRPr="00AF5567" w:rsidRDefault="00033D6F" w:rsidP="00C92A14">
            <w:pPr>
              <w:jc w:val="center"/>
              <w:rPr>
                <w:rFonts w:cs="Calibri"/>
                <w:color w:val="000000"/>
              </w:rPr>
            </w:pPr>
            <w:r w:rsidRPr="00AF5567">
              <w:rPr>
                <w:rFonts w:cs="Calibri"/>
                <w:color w:val="000000"/>
              </w:rPr>
              <w:t>Suitcase</w:t>
            </w:r>
          </w:p>
        </w:tc>
        <w:tc>
          <w:tcPr>
            <w:tcW w:w="1999" w:type="dxa"/>
            <w:vAlign w:val="center"/>
          </w:tcPr>
          <w:p w:rsidR="00033D6F" w:rsidRPr="00AF5567" w:rsidRDefault="00033D6F" w:rsidP="00C92A14">
            <w:pPr>
              <w:jc w:val="center"/>
              <w:rPr>
                <w:rFonts w:cs="Calibri"/>
                <w:color w:val="000000"/>
              </w:rPr>
            </w:pPr>
            <w:r w:rsidRPr="00AF5567">
              <w:rPr>
                <w:rFonts w:cs="Calibri"/>
                <w:color w:val="000000"/>
              </w:rPr>
              <w:t>Toy car</w:t>
            </w:r>
          </w:p>
        </w:tc>
        <w:tc>
          <w:tcPr>
            <w:tcW w:w="1488" w:type="dxa"/>
            <w:vAlign w:val="center"/>
          </w:tcPr>
          <w:p w:rsidR="00033D6F" w:rsidRDefault="00033D6F" w:rsidP="00C92A14">
            <w:pPr>
              <w:jc w:val="center"/>
            </w:pPr>
            <w:r>
              <w:t>Box</w:t>
            </w:r>
          </w:p>
        </w:tc>
        <w:tc>
          <w:tcPr>
            <w:tcW w:w="1518" w:type="dxa"/>
            <w:vAlign w:val="center"/>
          </w:tcPr>
          <w:p w:rsidR="00033D6F" w:rsidRDefault="00033D6F" w:rsidP="00C92A14">
            <w:pPr>
              <w:jc w:val="center"/>
            </w:pPr>
            <w:r>
              <w:t>Gas pump</w:t>
            </w:r>
          </w:p>
        </w:tc>
        <w:tc>
          <w:tcPr>
            <w:tcW w:w="1709" w:type="dxa"/>
            <w:vAlign w:val="center"/>
          </w:tcPr>
          <w:p w:rsidR="00033D6F" w:rsidRPr="00AF5567" w:rsidRDefault="00033D6F" w:rsidP="00C92A14">
            <w:pPr>
              <w:jc w:val="center"/>
              <w:rPr>
                <w:i/>
              </w:rPr>
            </w:pPr>
            <w:r w:rsidRPr="00AF5567">
              <w:rPr>
                <w:i/>
              </w:rPr>
              <w:t>Put in</w:t>
            </w:r>
          </w:p>
        </w:tc>
      </w:tr>
      <w:tr w:rsidR="00C92A14" w:rsidTr="00C92A14">
        <w:trPr>
          <w:trHeight w:val="463"/>
        </w:trPr>
        <w:tc>
          <w:tcPr>
            <w:tcW w:w="1381" w:type="dxa"/>
            <w:vAlign w:val="center"/>
          </w:tcPr>
          <w:p w:rsidR="00033D6F" w:rsidRPr="00AF5567" w:rsidRDefault="00033D6F" w:rsidP="00C92A14">
            <w:pPr>
              <w:jc w:val="center"/>
              <w:rPr>
                <w:rFonts w:cs="Calibri"/>
                <w:color w:val="000000"/>
              </w:rPr>
            </w:pPr>
            <w:r w:rsidRPr="00AF5567">
              <w:rPr>
                <w:rFonts w:cs="Calibri"/>
                <w:color w:val="000000"/>
              </w:rPr>
              <w:t>Child</w:t>
            </w:r>
          </w:p>
        </w:tc>
        <w:tc>
          <w:tcPr>
            <w:tcW w:w="1411" w:type="dxa"/>
            <w:vAlign w:val="center"/>
          </w:tcPr>
          <w:p w:rsidR="00033D6F" w:rsidRPr="00AF5567" w:rsidRDefault="00033D6F" w:rsidP="00C92A14">
            <w:pPr>
              <w:jc w:val="center"/>
              <w:rPr>
                <w:rFonts w:cs="Calibri"/>
                <w:color w:val="000000"/>
              </w:rPr>
            </w:pPr>
            <w:r w:rsidRPr="00AF5567">
              <w:rPr>
                <w:rFonts w:cs="Calibri"/>
                <w:color w:val="000000"/>
              </w:rPr>
              <w:t>Bed</w:t>
            </w:r>
          </w:p>
        </w:tc>
        <w:tc>
          <w:tcPr>
            <w:tcW w:w="1999" w:type="dxa"/>
            <w:vAlign w:val="center"/>
          </w:tcPr>
          <w:p w:rsidR="00033D6F" w:rsidRPr="00AF5567" w:rsidRDefault="00033D6F" w:rsidP="00C92A14">
            <w:pPr>
              <w:jc w:val="center"/>
              <w:rPr>
                <w:rFonts w:cs="Calibri"/>
                <w:color w:val="000000"/>
              </w:rPr>
            </w:pPr>
            <w:r w:rsidRPr="00AF5567">
              <w:rPr>
                <w:rFonts w:cs="Calibri"/>
                <w:color w:val="000000"/>
              </w:rPr>
              <w:t>Cat</w:t>
            </w:r>
          </w:p>
        </w:tc>
        <w:tc>
          <w:tcPr>
            <w:tcW w:w="1488" w:type="dxa"/>
            <w:vAlign w:val="center"/>
          </w:tcPr>
          <w:p w:rsidR="00033D6F" w:rsidRDefault="00033D6F" w:rsidP="00C92A14">
            <w:pPr>
              <w:jc w:val="center"/>
            </w:pPr>
            <w:r>
              <w:t>Pillow</w:t>
            </w:r>
          </w:p>
        </w:tc>
        <w:tc>
          <w:tcPr>
            <w:tcW w:w="1518" w:type="dxa"/>
            <w:vAlign w:val="center"/>
          </w:tcPr>
          <w:p w:rsidR="00033D6F" w:rsidRDefault="00033D6F" w:rsidP="00C92A14">
            <w:pPr>
              <w:jc w:val="center"/>
            </w:pPr>
            <w:r>
              <w:t>Whiskers</w:t>
            </w:r>
          </w:p>
        </w:tc>
        <w:tc>
          <w:tcPr>
            <w:tcW w:w="1709" w:type="dxa"/>
            <w:vAlign w:val="center"/>
          </w:tcPr>
          <w:p w:rsidR="00033D6F" w:rsidRPr="00AF5567" w:rsidRDefault="00033D6F" w:rsidP="00C92A14">
            <w:pPr>
              <w:jc w:val="center"/>
              <w:rPr>
                <w:i/>
              </w:rPr>
            </w:pPr>
            <w:r w:rsidRPr="00AF5567">
              <w:rPr>
                <w:i/>
              </w:rPr>
              <w:t>Sleep on</w:t>
            </w:r>
          </w:p>
        </w:tc>
      </w:tr>
      <w:tr w:rsidR="00C92A14" w:rsidTr="00C92A14">
        <w:trPr>
          <w:trHeight w:val="463"/>
        </w:trPr>
        <w:tc>
          <w:tcPr>
            <w:tcW w:w="1381" w:type="dxa"/>
            <w:vAlign w:val="center"/>
          </w:tcPr>
          <w:p w:rsidR="00033D6F" w:rsidRPr="00AF5567" w:rsidRDefault="00033D6F" w:rsidP="00C92A14">
            <w:pPr>
              <w:jc w:val="center"/>
              <w:rPr>
                <w:rFonts w:cs="Calibri"/>
                <w:color w:val="000000"/>
              </w:rPr>
            </w:pPr>
            <w:r w:rsidRPr="00AF5567">
              <w:rPr>
                <w:rFonts w:cs="Calibri"/>
                <w:color w:val="000000"/>
              </w:rPr>
              <w:t>Pig</w:t>
            </w:r>
          </w:p>
        </w:tc>
        <w:tc>
          <w:tcPr>
            <w:tcW w:w="1411" w:type="dxa"/>
            <w:vAlign w:val="center"/>
          </w:tcPr>
          <w:p w:rsidR="00033D6F" w:rsidRPr="00AF5567" w:rsidRDefault="00033D6F" w:rsidP="00C92A14">
            <w:pPr>
              <w:jc w:val="center"/>
              <w:rPr>
                <w:rFonts w:cs="Calibri"/>
                <w:color w:val="000000"/>
              </w:rPr>
            </w:pPr>
            <w:r w:rsidRPr="00AF5567">
              <w:rPr>
                <w:rFonts w:cs="Calibri"/>
                <w:color w:val="000000"/>
              </w:rPr>
              <w:t>Dish</w:t>
            </w:r>
          </w:p>
        </w:tc>
        <w:tc>
          <w:tcPr>
            <w:tcW w:w="1999" w:type="dxa"/>
            <w:vAlign w:val="center"/>
          </w:tcPr>
          <w:p w:rsidR="00033D6F" w:rsidRPr="00AF5567" w:rsidRDefault="00033D6F" w:rsidP="00C92A14">
            <w:pPr>
              <w:jc w:val="center"/>
              <w:rPr>
                <w:rFonts w:cs="Calibri"/>
                <w:color w:val="000000"/>
              </w:rPr>
            </w:pPr>
            <w:r w:rsidRPr="00AF5567">
              <w:rPr>
                <w:rFonts w:cs="Calibri"/>
                <w:color w:val="000000"/>
              </w:rPr>
              <w:t>Man</w:t>
            </w:r>
          </w:p>
        </w:tc>
        <w:tc>
          <w:tcPr>
            <w:tcW w:w="1488" w:type="dxa"/>
            <w:vAlign w:val="center"/>
          </w:tcPr>
          <w:p w:rsidR="00033D6F" w:rsidRDefault="00033D6F" w:rsidP="00C92A14">
            <w:pPr>
              <w:jc w:val="center"/>
            </w:pPr>
            <w:r>
              <w:t>Plate</w:t>
            </w:r>
          </w:p>
        </w:tc>
        <w:tc>
          <w:tcPr>
            <w:tcW w:w="1518" w:type="dxa"/>
            <w:vAlign w:val="center"/>
          </w:tcPr>
          <w:p w:rsidR="00033D6F" w:rsidRDefault="00033D6F" w:rsidP="00C92A14">
            <w:pPr>
              <w:jc w:val="center"/>
            </w:pPr>
            <w:r>
              <w:t>Watch</w:t>
            </w:r>
          </w:p>
        </w:tc>
        <w:tc>
          <w:tcPr>
            <w:tcW w:w="1709" w:type="dxa"/>
            <w:vAlign w:val="center"/>
          </w:tcPr>
          <w:p w:rsidR="00033D6F" w:rsidRPr="00AF5567" w:rsidRDefault="00033D6F" w:rsidP="00C92A14">
            <w:pPr>
              <w:jc w:val="center"/>
              <w:rPr>
                <w:i/>
              </w:rPr>
            </w:pPr>
            <w:r w:rsidRPr="00AF5567">
              <w:rPr>
                <w:i/>
              </w:rPr>
              <w:t>Eat in</w:t>
            </w:r>
          </w:p>
        </w:tc>
      </w:tr>
      <w:tr w:rsidR="00C92A14" w:rsidTr="005A69D4">
        <w:trPr>
          <w:trHeight w:val="409"/>
        </w:trPr>
        <w:tc>
          <w:tcPr>
            <w:tcW w:w="1381" w:type="dxa"/>
            <w:vAlign w:val="center"/>
          </w:tcPr>
          <w:p w:rsidR="00033D6F" w:rsidRPr="00AF5567" w:rsidRDefault="00033D6F" w:rsidP="00C92A14">
            <w:pPr>
              <w:jc w:val="center"/>
              <w:rPr>
                <w:rFonts w:cs="Calibri"/>
                <w:color w:val="000000"/>
              </w:rPr>
            </w:pPr>
            <w:r w:rsidRPr="00AF5567">
              <w:rPr>
                <w:rFonts w:cs="Calibri"/>
                <w:color w:val="000000"/>
              </w:rPr>
              <w:t>Man</w:t>
            </w:r>
          </w:p>
        </w:tc>
        <w:tc>
          <w:tcPr>
            <w:tcW w:w="1411" w:type="dxa"/>
            <w:vAlign w:val="center"/>
          </w:tcPr>
          <w:p w:rsidR="00033D6F" w:rsidRPr="00AF5567" w:rsidRDefault="00033D6F" w:rsidP="00C92A14">
            <w:pPr>
              <w:jc w:val="center"/>
              <w:rPr>
                <w:rFonts w:cs="Calibri"/>
                <w:color w:val="000000"/>
              </w:rPr>
            </w:pPr>
            <w:r w:rsidRPr="00AF5567">
              <w:rPr>
                <w:rFonts w:cs="Calibri"/>
                <w:color w:val="000000"/>
              </w:rPr>
              <w:t>Nose</w:t>
            </w:r>
          </w:p>
        </w:tc>
        <w:tc>
          <w:tcPr>
            <w:tcW w:w="1999" w:type="dxa"/>
            <w:vAlign w:val="center"/>
          </w:tcPr>
          <w:p w:rsidR="00033D6F" w:rsidRPr="00AF5567" w:rsidRDefault="00033D6F" w:rsidP="00C92A14">
            <w:pPr>
              <w:jc w:val="center"/>
              <w:rPr>
                <w:rFonts w:cs="Calibri"/>
                <w:color w:val="000000"/>
              </w:rPr>
            </w:pPr>
            <w:r w:rsidRPr="00AF5567">
              <w:rPr>
                <w:rFonts w:cs="Calibri"/>
                <w:color w:val="000000"/>
              </w:rPr>
              <w:t>Stag</w:t>
            </w:r>
          </w:p>
        </w:tc>
        <w:tc>
          <w:tcPr>
            <w:tcW w:w="1488" w:type="dxa"/>
            <w:vAlign w:val="center"/>
          </w:tcPr>
          <w:p w:rsidR="00033D6F" w:rsidRDefault="00033D6F" w:rsidP="00C92A14">
            <w:pPr>
              <w:jc w:val="center"/>
            </w:pPr>
            <w:r>
              <w:t>Muzzle</w:t>
            </w:r>
          </w:p>
        </w:tc>
        <w:tc>
          <w:tcPr>
            <w:tcW w:w="1518" w:type="dxa"/>
            <w:vAlign w:val="center"/>
          </w:tcPr>
          <w:p w:rsidR="00033D6F" w:rsidRDefault="00033D6F" w:rsidP="00C92A14">
            <w:pPr>
              <w:jc w:val="center"/>
            </w:pPr>
            <w:r>
              <w:t>Owl</w:t>
            </w:r>
          </w:p>
        </w:tc>
        <w:tc>
          <w:tcPr>
            <w:tcW w:w="1709" w:type="dxa"/>
            <w:vAlign w:val="center"/>
          </w:tcPr>
          <w:p w:rsidR="00033D6F" w:rsidRPr="00AF5567" w:rsidRDefault="00033D6F" w:rsidP="00C92A14">
            <w:pPr>
              <w:jc w:val="center"/>
              <w:rPr>
                <w:i/>
              </w:rPr>
            </w:pPr>
            <w:r w:rsidRPr="00AF5567">
              <w:rPr>
                <w:i/>
              </w:rPr>
              <w:t>Breathe with</w:t>
            </w:r>
          </w:p>
        </w:tc>
      </w:tr>
      <w:tr w:rsidR="00C92A14" w:rsidTr="00C92A14">
        <w:trPr>
          <w:trHeight w:val="463"/>
        </w:trPr>
        <w:tc>
          <w:tcPr>
            <w:tcW w:w="1381" w:type="dxa"/>
            <w:vAlign w:val="center"/>
          </w:tcPr>
          <w:p w:rsidR="00033D6F" w:rsidRPr="00AF5567" w:rsidRDefault="00033D6F" w:rsidP="00C92A14">
            <w:pPr>
              <w:jc w:val="center"/>
              <w:rPr>
                <w:rFonts w:cs="Calibri"/>
                <w:color w:val="000000"/>
              </w:rPr>
            </w:pPr>
            <w:r w:rsidRPr="00AF5567">
              <w:rPr>
                <w:rFonts w:cs="Calibri"/>
                <w:color w:val="000000"/>
              </w:rPr>
              <w:t>Glass</w:t>
            </w:r>
          </w:p>
        </w:tc>
        <w:tc>
          <w:tcPr>
            <w:tcW w:w="1411" w:type="dxa"/>
            <w:vAlign w:val="center"/>
          </w:tcPr>
          <w:p w:rsidR="00033D6F" w:rsidRPr="00AF5567" w:rsidRDefault="00033D6F" w:rsidP="00C92A14">
            <w:pPr>
              <w:jc w:val="center"/>
              <w:rPr>
                <w:rFonts w:cs="Calibri"/>
                <w:color w:val="000000"/>
              </w:rPr>
            </w:pPr>
            <w:r w:rsidRPr="00AF5567">
              <w:rPr>
                <w:rFonts w:cs="Calibri"/>
                <w:color w:val="000000"/>
              </w:rPr>
              <w:t>Sideboard</w:t>
            </w:r>
          </w:p>
        </w:tc>
        <w:tc>
          <w:tcPr>
            <w:tcW w:w="1999" w:type="dxa"/>
            <w:vAlign w:val="center"/>
          </w:tcPr>
          <w:p w:rsidR="00033D6F" w:rsidRPr="00AF5567" w:rsidRDefault="00033D6F" w:rsidP="00C92A14">
            <w:pPr>
              <w:jc w:val="center"/>
              <w:rPr>
                <w:rFonts w:cs="Calibri"/>
                <w:color w:val="000000"/>
              </w:rPr>
            </w:pPr>
            <w:r w:rsidRPr="00AF5567">
              <w:rPr>
                <w:rFonts w:cs="Calibri"/>
                <w:color w:val="000000"/>
              </w:rPr>
              <w:t>Ring</w:t>
            </w:r>
          </w:p>
        </w:tc>
        <w:tc>
          <w:tcPr>
            <w:tcW w:w="1488" w:type="dxa"/>
            <w:vAlign w:val="center"/>
          </w:tcPr>
          <w:p w:rsidR="00033D6F" w:rsidRDefault="00033D6F" w:rsidP="00C92A14">
            <w:pPr>
              <w:jc w:val="center"/>
            </w:pPr>
            <w:r>
              <w:t>Case</w:t>
            </w:r>
          </w:p>
        </w:tc>
        <w:tc>
          <w:tcPr>
            <w:tcW w:w="1518" w:type="dxa"/>
            <w:vAlign w:val="center"/>
          </w:tcPr>
          <w:p w:rsidR="00033D6F" w:rsidRDefault="00033D6F" w:rsidP="00C92A14">
            <w:pPr>
              <w:jc w:val="center"/>
            </w:pPr>
            <w:r>
              <w:t>Watch</w:t>
            </w:r>
          </w:p>
        </w:tc>
        <w:tc>
          <w:tcPr>
            <w:tcW w:w="1709" w:type="dxa"/>
            <w:vAlign w:val="center"/>
          </w:tcPr>
          <w:p w:rsidR="00033D6F" w:rsidRPr="00AF5567" w:rsidRDefault="00033D6F" w:rsidP="00C92A14">
            <w:pPr>
              <w:jc w:val="center"/>
              <w:rPr>
                <w:i/>
              </w:rPr>
            </w:pPr>
            <w:r w:rsidRPr="00AF5567">
              <w:rPr>
                <w:i/>
              </w:rPr>
              <w:t>Put in</w:t>
            </w:r>
          </w:p>
        </w:tc>
      </w:tr>
      <w:tr w:rsidR="00C92A14" w:rsidTr="00C92A14">
        <w:trPr>
          <w:trHeight w:val="463"/>
        </w:trPr>
        <w:tc>
          <w:tcPr>
            <w:tcW w:w="1381" w:type="dxa"/>
            <w:vAlign w:val="center"/>
          </w:tcPr>
          <w:p w:rsidR="00033D6F" w:rsidRPr="00AF5567" w:rsidRDefault="00C92A14" w:rsidP="00C92A14">
            <w:pPr>
              <w:jc w:val="center"/>
              <w:rPr>
                <w:rFonts w:cs="Calibri"/>
                <w:color w:val="000000"/>
              </w:rPr>
            </w:pPr>
            <w:r>
              <w:rPr>
                <w:rFonts w:cs="Calibri"/>
                <w:color w:val="000000"/>
              </w:rPr>
              <w:t>Pineapple</w:t>
            </w:r>
          </w:p>
        </w:tc>
        <w:tc>
          <w:tcPr>
            <w:tcW w:w="1411" w:type="dxa"/>
            <w:vAlign w:val="center"/>
          </w:tcPr>
          <w:p w:rsidR="00033D6F" w:rsidRPr="00AF5567" w:rsidRDefault="00033D6F" w:rsidP="00C92A14">
            <w:pPr>
              <w:jc w:val="center"/>
              <w:rPr>
                <w:rFonts w:cs="Calibri"/>
                <w:color w:val="000000"/>
              </w:rPr>
            </w:pPr>
            <w:r w:rsidRPr="00AF5567">
              <w:rPr>
                <w:rFonts w:cs="Calibri"/>
                <w:color w:val="000000"/>
              </w:rPr>
              <w:t>Bottle</w:t>
            </w:r>
          </w:p>
        </w:tc>
        <w:tc>
          <w:tcPr>
            <w:tcW w:w="1999" w:type="dxa"/>
            <w:vAlign w:val="center"/>
          </w:tcPr>
          <w:p w:rsidR="00033D6F" w:rsidRPr="00AF5567" w:rsidRDefault="00033D6F" w:rsidP="00C92A14">
            <w:pPr>
              <w:jc w:val="center"/>
              <w:rPr>
                <w:rFonts w:cs="Calibri"/>
                <w:color w:val="000000"/>
              </w:rPr>
            </w:pPr>
            <w:r w:rsidRPr="00AF5567">
              <w:rPr>
                <w:rFonts w:cs="Calibri"/>
                <w:color w:val="000000"/>
              </w:rPr>
              <w:t>Orange</w:t>
            </w:r>
          </w:p>
        </w:tc>
        <w:tc>
          <w:tcPr>
            <w:tcW w:w="1488" w:type="dxa"/>
            <w:vAlign w:val="center"/>
          </w:tcPr>
          <w:p w:rsidR="00033D6F" w:rsidRDefault="00033D6F" w:rsidP="00C92A14">
            <w:pPr>
              <w:jc w:val="center"/>
            </w:pPr>
            <w:r>
              <w:t>Carafe</w:t>
            </w:r>
          </w:p>
        </w:tc>
        <w:tc>
          <w:tcPr>
            <w:tcW w:w="1518" w:type="dxa"/>
            <w:vAlign w:val="center"/>
          </w:tcPr>
          <w:p w:rsidR="00033D6F" w:rsidRDefault="00033D6F" w:rsidP="00C92A14">
            <w:pPr>
              <w:jc w:val="center"/>
            </w:pPr>
            <w:r>
              <w:t>Strawberry</w:t>
            </w:r>
          </w:p>
        </w:tc>
        <w:tc>
          <w:tcPr>
            <w:tcW w:w="1709" w:type="dxa"/>
            <w:vAlign w:val="center"/>
          </w:tcPr>
          <w:p w:rsidR="00033D6F" w:rsidRPr="00AF5567" w:rsidRDefault="00033D6F" w:rsidP="00C92A14">
            <w:pPr>
              <w:jc w:val="center"/>
              <w:rPr>
                <w:i/>
              </w:rPr>
            </w:pPr>
            <w:r w:rsidRPr="00AF5567">
              <w:rPr>
                <w:i/>
              </w:rPr>
              <w:t>Put juice in</w:t>
            </w:r>
          </w:p>
        </w:tc>
      </w:tr>
      <w:tr w:rsidR="00C92A14" w:rsidTr="00C92A14">
        <w:trPr>
          <w:trHeight w:val="463"/>
        </w:trPr>
        <w:tc>
          <w:tcPr>
            <w:tcW w:w="1381" w:type="dxa"/>
            <w:vAlign w:val="center"/>
          </w:tcPr>
          <w:p w:rsidR="00033D6F" w:rsidRPr="00AF5567" w:rsidRDefault="00033D6F" w:rsidP="00C92A14">
            <w:pPr>
              <w:jc w:val="center"/>
              <w:rPr>
                <w:rFonts w:cs="Calibri"/>
                <w:color w:val="000000"/>
              </w:rPr>
            </w:pPr>
            <w:r w:rsidRPr="00AF5567">
              <w:rPr>
                <w:rFonts w:cs="Calibri"/>
                <w:color w:val="000000"/>
              </w:rPr>
              <w:t>Train</w:t>
            </w:r>
          </w:p>
        </w:tc>
        <w:tc>
          <w:tcPr>
            <w:tcW w:w="1411" w:type="dxa"/>
            <w:vAlign w:val="center"/>
          </w:tcPr>
          <w:p w:rsidR="00033D6F" w:rsidRPr="00AF5567" w:rsidRDefault="00033D6F" w:rsidP="00C92A14">
            <w:pPr>
              <w:jc w:val="center"/>
              <w:rPr>
                <w:rFonts w:cs="Calibri"/>
                <w:color w:val="000000"/>
              </w:rPr>
            </w:pPr>
            <w:r w:rsidRPr="00AF5567">
              <w:rPr>
                <w:rFonts w:cs="Calibri"/>
                <w:color w:val="000000"/>
              </w:rPr>
              <w:t>Rails</w:t>
            </w:r>
          </w:p>
        </w:tc>
        <w:tc>
          <w:tcPr>
            <w:tcW w:w="1999" w:type="dxa"/>
            <w:vAlign w:val="center"/>
          </w:tcPr>
          <w:p w:rsidR="00033D6F" w:rsidRPr="00AF5567" w:rsidRDefault="00033D6F" w:rsidP="00C92A14">
            <w:pPr>
              <w:jc w:val="center"/>
              <w:rPr>
                <w:rFonts w:cs="Calibri"/>
                <w:color w:val="000000"/>
              </w:rPr>
            </w:pPr>
            <w:r w:rsidRPr="00AF5567">
              <w:rPr>
                <w:rFonts w:cs="Calibri"/>
                <w:color w:val="000000"/>
              </w:rPr>
              <w:t>Boat</w:t>
            </w:r>
          </w:p>
        </w:tc>
        <w:tc>
          <w:tcPr>
            <w:tcW w:w="1488" w:type="dxa"/>
            <w:vAlign w:val="center"/>
          </w:tcPr>
          <w:p w:rsidR="00033D6F" w:rsidRDefault="00033D6F" w:rsidP="00C92A14">
            <w:pPr>
              <w:jc w:val="center"/>
            </w:pPr>
            <w:r>
              <w:t>Sea</w:t>
            </w:r>
          </w:p>
        </w:tc>
        <w:tc>
          <w:tcPr>
            <w:tcW w:w="1518" w:type="dxa"/>
            <w:vAlign w:val="center"/>
          </w:tcPr>
          <w:p w:rsidR="00033D6F" w:rsidRDefault="00033D6F" w:rsidP="00C92A14">
            <w:pPr>
              <w:jc w:val="center"/>
            </w:pPr>
            <w:r>
              <w:t>Crab</w:t>
            </w:r>
          </w:p>
        </w:tc>
        <w:tc>
          <w:tcPr>
            <w:tcW w:w="1709" w:type="dxa"/>
            <w:vAlign w:val="center"/>
          </w:tcPr>
          <w:p w:rsidR="00033D6F" w:rsidRPr="00AF5567" w:rsidRDefault="00033D6F" w:rsidP="00C92A14">
            <w:pPr>
              <w:jc w:val="center"/>
              <w:rPr>
                <w:i/>
              </w:rPr>
            </w:pPr>
            <w:r w:rsidRPr="00AF5567">
              <w:rPr>
                <w:i/>
              </w:rPr>
              <w:t>Move on</w:t>
            </w:r>
          </w:p>
        </w:tc>
      </w:tr>
      <w:tr w:rsidR="00C92A14" w:rsidTr="00C92A14">
        <w:trPr>
          <w:trHeight w:val="463"/>
        </w:trPr>
        <w:tc>
          <w:tcPr>
            <w:tcW w:w="1381" w:type="dxa"/>
            <w:vAlign w:val="center"/>
          </w:tcPr>
          <w:p w:rsidR="00033D6F" w:rsidRPr="00AF5567" w:rsidRDefault="00033D6F" w:rsidP="00C92A14">
            <w:pPr>
              <w:jc w:val="center"/>
              <w:rPr>
                <w:rFonts w:cs="Calibri"/>
                <w:color w:val="000000"/>
              </w:rPr>
            </w:pPr>
            <w:r w:rsidRPr="00AF5567">
              <w:rPr>
                <w:rFonts w:cs="Calibri"/>
                <w:color w:val="000000"/>
              </w:rPr>
              <w:t>Glove</w:t>
            </w:r>
          </w:p>
        </w:tc>
        <w:tc>
          <w:tcPr>
            <w:tcW w:w="1411" w:type="dxa"/>
            <w:vAlign w:val="center"/>
          </w:tcPr>
          <w:p w:rsidR="00033D6F" w:rsidRPr="00AF5567" w:rsidRDefault="00033D6F" w:rsidP="00C92A14">
            <w:pPr>
              <w:jc w:val="center"/>
              <w:rPr>
                <w:rFonts w:cs="Calibri"/>
                <w:color w:val="000000"/>
              </w:rPr>
            </w:pPr>
            <w:r w:rsidRPr="00AF5567">
              <w:rPr>
                <w:rFonts w:cs="Calibri"/>
                <w:color w:val="000000"/>
              </w:rPr>
              <w:t>Hand</w:t>
            </w:r>
          </w:p>
        </w:tc>
        <w:tc>
          <w:tcPr>
            <w:tcW w:w="1999" w:type="dxa"/>
            <w:vAlign w:val="center"/>
          </w:tcPr>
          <w:p w:rsidR="00033D6F" w:rsidRPr="00AF5567" w:rsidRDefault="00033D6F" w:rsidP="00C92A14">
            <w:pPr>
              <w:jc w:val="center"/>
              <w:rPr>
                <w:rFonts w:cs="Calibri"/>
                <w:color w:val="000000"/>
              </w:rPr>
            </w:pPr>
            <w:r w:rsidRPr="00AF5567">
              <w:rPr>
                <w:rFonts w:cs="Calibri"/>
                <w:color w:val="000000"/>
              </w:rPr>
              <w:t>Shoe</w:t>
            </w:r>
          </w:p>
        </w:tc>
        <w:tc>
          <w:tcPr>
            <w:tcW w:w="1488" w:type="dxa"/>
            <w:vAlign w:val="center"/>
          </w:tcPr>
          <w:p w:rsidR="00033D6F" w:rsidRDefault="00033D6F" w:rsidP="00C92A14">
            <w:pPr>
              <w:jc w:val="center"/>
            </w:pPr>
            <w:r>
              <w:t>Foot</w:t>
            </w:r>
          </w:p>
        </w:tc>
        <w:tc>
          <w:tcPr>
            <w:tcW w:w="1518" w:type="dxa"/>
            <w:vAlign w:val="center"/>
          </w:tcPr>
          <w:p w:rsidR="00033D6F" w:rsidRDefault="00033D6F" w:rsidP="00C92A14">
            <w:pPr>
              <w:jc w:val="center"/>
            </w:pPr>
            <w:r>
              <w:t>Footprints</w:t>
            </w:r>
          </w:p>
        </w:tc>
        <w:tc>
          <w:tcPr>
            <w:tcW w:w="1709" w:type="dxa"/>
            <w:vAlign w:val="center"/>
          </w:tcPr>
          <w:p w:rsidR="00033D6F" w:rsidRPr="00AF5567" w:rsidRDefault="00033D6F" w:rsidP="00C92A14">
            <w:pPr>
              <w:jc w:val="center"/>
              <w:rPr>
                <w:i/>
              </w:rPr>
            </w:pPr>
            <w:r w:rsidRPr="00AF5567">
              <w:rPr>
                <w:i/>
              </w:rPr>
              <w:t>Put on</w:t>
            </w:r>
          </w:p>
        </w:tc>
      </w:tr>
      <w:tr w:rsidR="00C92A14" w:rsidTr="005A69D4">
        <w:trPr>
          <w:trHeight w:val="513"/>
        </w:trPr>
        <w:tc>
          <w:tcPr>
            <w:tcW w:w="1381" w:type="dxa"/>
            <w:vAlign w:val="center"/>
          </w:tcPr>
          <w:p w:rsidR="00033D6F" w:rsidRPr="00AF5567" w:rsidRDefault="00033D6F" w:rsidP="00C92A14">
            <w:pPr>
              <w:jc w:val="center"/>
              <w:rPr>
                <w:rFonts w:cs="Calibri"/>
                <w:color w:val="000000"/>
              </w:rPr>
            </w:pPr>
            <w:r w:rsidRPr="00AF5567">
              <w:rPr>
                <w:rFonts w:cs="Calibri"/>
                <w:color w:val="000000"/>
              </w:rPr>
              <w:t>Lamp</w:t>
            </w:r>
          </w:p>
        </w:tc>
        <w:tc>
          <w:tcPr>
            <w:tcW w:w="1411" w:type="dxa"/>
            <w:vAlign w:val="center"/>
          </w:tcPr>
          <w:p w:rsidR="00033D6F" w:rsidRPr="00AF5567" w:rsidRDefault="00033D6F" w:rsidP="00C92A14">
            <w:pPr>
              <w:jc w:val="center"/>
              <w:rPr>
                <w:rFonts w:cs="Calibri"/>
                <w:color w:val="000000"/>
              </w:rPr>
            </w:pPr>
            <w:r w:rsidRPr="00AF5567">
              <w:rPr>
                <w:rFonts w:cs="Calibri"/>
                <w:color w:val="000000"/>
              </w:rPr>
              <w:t>Socket</w:t>
            </w:r>
          </w:p>
        </w:tc>
        <w:tc>
          <w:tcPr>
            <w:tcW w:w="1999" w:type="dxa"/>
            <w:vAlign w:val="center"/>
          </w:tcPr>
          <w:p w:rsidR="00033D6F" w:rsidRPr="00AF5567" w:rsidRDefault="00033D6F" w:rsidP="00C92A14">
            <w:pPr>
              <w:jc w:val="center"/>
              <w:rPr>
                <w:rFonts w:cs="Calibri"/>
                <w:color w:val="000000"/>
              </w:rPr>
            </w:pPr>
            <w:r w:rsidRPr="00AF5567">
              <w:rPr>
                <w:rFonts w:cs="Calibri"/>
                <w:color w:val="000000"/>
              </w:rPr>
              <w:t>Remote control</w:t>
            </w:r>
          </w:p>
        </w:tc>
        <w:tc>
          <w:tcPr>
            <w:tcW w:w="1488" w:type="dxa"/>
            <w:vAlign w:val="center"/>
          </w:tcPr>
          <w:p w:rsidR="00033D6F" w:rsidRDefault="00033D6F" w:rsidP="00C92A14">
            <w:pPr>
              <w:jc w:val="center"/>
            </w:pPr>
            <w:r>
              <w:t>Battery</w:t>
            </w:r>
          </w:p>
        </w:tc>
        <w:tc>
          <w:tcPr>
            <w:tcW w:w="1518" w:type="dxa"/>
            <w:vAlign w:val="center"/>
          </w:tcPr>
          <w:p w:rsidR="00033D6F" w:rsidRDefault="00033D6F" w:rsidP="00C92A14">
            <w:pPr>
              <w:jc w:val="center"/>
            </w:pPr>
            <w:r>
              <w:t>Radio</w:t>
            </w:r>
          </w:p>
        </w:tc>
        <w:tc>
          <w:tcPr>
            <w:tcW w:w="1709" w:type="dxa"/>
            <w:vAlign w:val="center"/>
          </w:tcPr>
          <w:p w:rsidR="00033D6F" w:rsidRPr="00AF5567" w:rsidRDefault="00033D6F" w:rsidP="00C92A14">
            <w:pPr>
              <w:jc w:val="center"/>
              <w:rPr>
                <w:i/>
              </w:rPr>
            </w:pPr>
            <w:r w:rsidRPr="00AF5567">
              <w:rPr>
                <w:i/>
              </w:rPr>
              <w:t>Work with</w:t>
            </w:r>
          </w:p>
        </w:tc>
      </w:tr>
      <w:tr w:rsidR="00C92A14" w:rsidTr="00C92A14">
        <w:trPr>
          <w:trHeight w:val="463"/>
        </w:trPr>
        <w:tc>
          <w:tcPr>
            <w:tcW w:w="1381" w:type="dxa"/>
            <w:vAlign w:val="center"/>
          </w:tcPr>
          <w:p w:rsidR="00033D6F" w:rsidRPr="00AF5567" w:rsidRDefault="00033D6F" w:rsidP="00C92A14">
            <w:pPr>
              <w:jc w:val="center"/>
              <w:rPr>
                <w:rFonts w:cs="Calibri"/>
                <w:color w:val="000000"/>
              </w:rPr>
            </w:pPr>
            <w:r w:rsidRPr="00AF5567">
              <w:rPr>
                <w:rFonts w:cs="Calibri"/>
                <w:color w:val="000000"/>
              </w:rPr>
              <w:t>Bird</w:t>
            </w:r>
          </w:p>
        </w:tc>
        <w:tc>
          <w:tcPr>
            <w:tcW w:w="1411" w:type="dxa"/>
            <w:vAlign w:val="center"/>
          </w:tcPr>
          <w:p w:rsidR="00033D6F" w:rsidRPr="00AF5567" w:rsidRDefault="00033D6F" w:rsidP="00C92A14">
            <w:pPr>
              <w:jc w:val="center"/>
              <w:rPr>
                <w:rFonts w:cs="Calibri"/>
                <w:color w:val="000000"/>
              </w:rPr>
            </w:pPr>
            <w:r w:rsidRPr="00AF5567">
              <w:rPr>
                <w:rFonts w:cs="Calibri"/>
                <w:color w:val="000000"/>
              </w:rPr>
              <w:t>Nest</w:t>
            </w:r>
          </w:p>
        </w:tc>
        <w:tc>
          <w:tcPr>
            <w:tcW w:w="1999" w:type="dxa"/>
            <w:vAlign w:val="center"/>
          </w:tcPr>
          <w:p w:rsidR="00033D6F" w:rsidRPr="00AF5567" w:rsidRDefault="00033D6F" w:rsidP="00C92A14">
            <w:pPr>
              <w:jc w:val="center"/>
              <w:rPr>
                <w:rFonts w:cs="Calibri"/>
                <w:color w:val="000000"/>
              </w:rPr>
            </w:pPr>
            <w:r w:rsidRPr="00AF5567">
              <w:rPr>
                <w:rFonts w:cs="Calibri"/>
                <w:color w:val="000000"/>
              </w:rPr>
              <w:t>Dog</w:t>
            </w:r>
          </w:p>
        </w:tc>
        <w:tc>
          <w:tcPr>
            <w:tcW w:w="1488" w:type="dxa"/>
            <w:vAlign w:val="center"/>
          </w:tcPr>
          <w:p w:rsidR="00033D6F" w:rsidRDefault="00033D6F" w:rsidP="00C92A14">
            <w:pPr>
              <w:jc w:val="center"/>
            </w:pPr>
            <w:r>
              <w:t>Doghouse</w:t>
            </w:r>
          </w:p>
        </w:tc>
        <w:tc>
          <w:tcPr>
            <w:tcW w:w="1518" w:type="dxa"/>
            <w:vAlign w:val="center"/>
          </w:tcPr>
          <w:p w:rsidR="00033D6F" w:rsidRDefault="00033D6F" w:rsidP="00C92A14">
            <w:pPr>
              <w:jc w:val="center"/>
            </w:pPr>
            <w:r>
              <w:t>Bone</w:t>
            </w:r>
          </w:p>
        </w:tc>
        <w:tc>
          <w:tcPr>
            <w:tcW w:w="1709" w:type="dxa"/>
            <w:vAlign w:val="center"/>
          </w:tcPr>
          <w:p w:rsidR="00033D6F" w:rsidRPr="00AF5567" w:rsidRDefault="00033D6F" w:rsidP="00C92A14">
            <w:pPr>
              <w:jc w:val="center"/>
              <w:rPr>
                <w:i/>
              </w:rPr>
            </w:pPr>
            <w:r w:rsidRPr="00AF5567">
              <w:rPr>
                <w:i/>
              </w:rPr>
              <w:t>Live in</w:t>
            </w:r>
          </w:p>
        </w:tc>
      </w:tr>
      <w:tr w:rsidR="00C92A14" w:rsidTr="00C92A14">
        <w:trPr>
          <w:trHeight w:val="463"/>
        </w:trPr>
        <w:tc>
          <w:tcPr>
            <w:tcW w:w="1381" w:type="dxa"/>
            <w:vAlign w:val="center"/>
          </w:tcPr>
          <w:p w:rsidR="00033D6F" w:rsidRPr="00AF5567" w:rsidRDefault="00033D6F" w:rsidP="00C92A14">
            <w:pPr>
              <w:jc w:val="center"/>
              <w:rPr>
                <w:rFonts w:cs="Calibri"/>
                <w:color w:val="000000"/>
              </w:rPr>
            </w:pPr>
            <w:r w:rsidRPr="00AF5567">
              <w:rPr>
                <w:rFonts w:cs="Calibri"/>
                <w:color w:val="000000"/>
              </w:rPr>
              <w:t>Spider</w:t>
            </w:r>
          </w:p>
        </w:tc>
        <w:tc>
          <w:tcPr>
            <w:tcW w:w="1411" w:type="dxa"/>
            <w:vAlign w:val="center"/>
          </w:tcPr>
          <w:p w:rsidR="00033D6F" w:rsidRPr="00AF5567" w:rsidRDefault="00033D6F" w:rsidP="00C92A14">
            <w:pPr>
              <w:jc w:val="center"/>
              <w:rPr>
                <w:rFonts w:cs="Calibri"/>
                <w:color w:val="000000"/>
              </w:rPr>
            </w:pPr>
            <w:r w:rsidRPr="00AF5567">
              <w:rPr>
                <w:rFonts w:cs="Calibri"/>
                <w:color w:val="000000"/>
              </w:rPr>
              <w:t>Cobweb</w:t>
            </w:r>
          </w:p>
        </w:tc>
        <w:tc>
          <w:tcPr>
            <w:tcW w:w="1999" w:type="dxa"/>
            <w:vAlign w:val="center"/>
          </w:tcPr>
          <w:p w:rsidR="00033D6F" w:rsidRPr="00AF5567" w:rsidRDefault="00033D6F" w:rsidP="00C92A14">
            <w:pPr>
              <w:jc w:val="center"/>
              <w:rPr>
                <w:rFonts w:cs="Calibri"/>
                <w:color w:val="000000"/>
              </w:rPr>
            </w:pPr>
            <w:r w:rsidRPr="00AF5567">
              <w:rPr>
                <w:rFonts w:cs="Calibri"/>
                <w:color w:val="000000"/>
              </w:rPr>
              <w:t>Bee</w:t>
            </w:r>
          </w:p>
        </w:tc>
        <w:tc>
          <w:tcPr>
            <w:tcW w:w="1488" w:type="dxa"/>
            <w:vAlign w:val="center"/>
          </w:tcPr>
          <w:p w:rsidR="00033D6F" w:rsidRDefault="00033D6F" w:rsidP="00C92A14">
            <w:pPr>
              <w:jc w:val="center"/>
            </w:pPr>
            <w:r>
              <w:t>Beehive</w:t>
            </w:r>
          </w:p>
        </w:tc>
        <w:tc>
          <w:tcPr>
            <w:tcW w:w="1518" w:type="dxa"/>
            <w:vAlign w:val="center"/>
          </w:tcPr>
          <w:p w:rsidR="00033D6F" w:rsidRDefault="00033D6F" w:rsidP="00C92A14">
            <w:pPr>
              <w:jc w:val="center"/>
            </w:pPr>
            <w:r>
              <w:t>Flower</w:t>
            </w:r>
          </w:p>
        </w:tc>
        <w:tc>
          <w:tcPr>
            <w:tcW w:w="1709" w:type="dxa"/>
            <w:vAlign w:val="center"/>
          </w:tcPr>
          <w:p w:rsidR="00033D6F" w:rsidRPr="00AF5567" w:rsidRDefault="00033D6F" w:rsidP="00C92A14">
            <w:pPr>
              <w:jc w:val="center"/>
              <w:rPr>
                <w:i/>
              </w:rPr>
            </w:pPr>
            <w:r w:rsidRPr="00AF5567">
              <w:rPr>
                <w:i/>
              </w:rPr>
              <w:t>Live in</w:t>
            </w:r>
          </w:p>
        </w:tc>
      </w:tr>
      <w:tr w:rsidR="00C92A14" w:rsidTr="00C92A14">
        <w:trPr>
          <w:trHeight w:val="478"/>
        </w:trPr>
        <w:tc>
          <w:tcPr>
            <w:tcW w:w="1381" w:type="dxa"/>
            <w:vAlign w:val="center"/>
          </w:tcPr>
          <w:p w:rsidR="00033D6F" w:rsidRPr="00AF5567" w:rsidRDefault="00033D6F" w:rsidP="00C92A14">
            <w:pPr>
              <w:jc w:val="center"/>
              <w:rPr>
                <w:rFonts w:cs="Calibri"/>
                <w:color w:val="000000"/>
              </w:rPr>
            </w:pPr>
            <w:r w:rsidRPr="00AF5567">
              <w:rPr>
                <w:rFonts w:cs="Calibri"/>
                <w:color w:val="000000"/>
              </w:rPr>
              <w:t>Lock</w:t>
            </w:r>
          </w:p>
        </w:tc>
        <w:tc>
          <w:tcPr>
            <w:tcW w:w="1411" w:type="dxa"/>
            <w:vAlign w:val="center"/>
          </w:tcPr>
          <w:p w:rsidR="00033D6F" w:rsidRPr="00AF5567" w:rsidRDefault="00033D6F" w:rsidP="00C92A14">
            <w:pPr>
              <w:jc w:val="center"/>
              <w:rPr>
                <w:rFonts w:cs="Calibri"/>
                <w:color w:val="000000"/>
              </w:rPr>
            </w:pPr>
            <w:r w:rsidRPr="00AF5567">
              <w:rPr>
                <w:rFonts w:cs="Calibri"/>
                <w:color w:val="000000"/>
              </w:rPr>
              <w:t>Key</w:t>
            </w:r>
          </w:p>
        </w:tc>
        <w:tc>
          <w:tcPr>
            <w:tcW w:w="1999" w:type="dxa"/>
            <w:vAlign w:val="center"/>
          </w:tcPr>
          <w:p w:rsidR="00033D6F" w:rsidRPr="00AF5567" w:rsidRDefault="00033D6F" w:rsidP="00C92A14">
            <w:pPr>
              <w:jc w:val="center"/>
              <w:rPr>
                <w:rFonts w:cs="Calibri"/>
                <w:color w:val="000000"/>
              </w:rPr>
            </w:pPr>
            <w:r w:rsidRPr="00AF5567">
              <w:rPr>
                <w:rFonts w:cs="Calibri"/>
                <w:color w:val="000000"/>
              </w:rPr>
              <w:t>Bottle</w:t>
            </w:r>
          </w:p>
        </w:tc>
        <w:tc>
          <w:tcPr>
            <w:tcW w:w="1488" w:type="dxa"/>
            <w:vAlign w:val="center"/>
          </w:tcPr>
          <w:p w:rsidR="00033D6F" w:rsidRDefault="00033D6F" w:rsidP="00C92A14">
            <w:pPr>
              <w:jc w:val="center"/>
            </w:pPr>
            <w:r>
              <w:t>Corkscrew</w:t>
            </w:r>
          </w:p>
        </w:tc>
        <w:tc>
          <w:tcPr>
            <w:tcW w:w="1518" w:type="dxa"/>
            <w:vAlign w:val="center"/>
          </w:tcPr>
          <w:p w:rsidR="00033D6F" w:rsidRDefault="00033D6F" w:rsidP="00C92A14">
            <w:pPr>
              <w:jc w:val="center"/>
            </w:pPr>
            <w:r>
              <w:t>Glass</w:t>
            </w:r>
          </w:p>
        </w:tc>
        <w:tc>
          <w:tcPr>
            <w:tcW w:w="1709" w:type="dxa"/>
            <w:vAlign w:val="center"/>
          </w:tcPr>
          <w:p w:rsidR="00033D6F" w:rsidRPr="00AF5567" w:rsidRDefault="00033D6F" w:rsidP="00C92A14">
            <w:pPr>
              <w:jc w:val="center"/>
              <w:rPr>
                <w:i/>
              </w:rPr>
            </w:pPr>
            <w:r w:rsidRPr="00AF5567">
              <w:rPr>
                <w:i/>
              </w:rPr>
              <w:t>Open</w:t>
            </w:r>
          </w:p>
        </w:tc>
      </w:tr>
    </w:tbl>
    <w:p w:rsidR="00033D6F" w:rsidRDefault="00033D6F" w:rsidP="00CD31AC">
      <w:pPr>
        <w:pStyle w:val="NormalWeb"/>
        <w:spacing w:before="0" w:beforeAutospacing="0" w:after="0" w:afterAutospacing="0"/>
        <w:ind w:left="142" w:hanging="142"/>
        <w:jc w:val="both"/>
      </w:pPr>
    </w:p>
    <w:p w:rsidR="00C92A14" w:rsidRPr="00EB7F42" w:rsidRDefault="00C92A14" w:rsidP="00C92A14">
      <w:pPr>
        <w:pStyle w:val="NormalWeb"/>
        <w:spacing w:before="0" w:beforeAutospacing="0" w:after="0" w:afterAutospacing="0"/>
        <w:ind w:left="142" w:hanging="142"/>
        <w:jc w:val="center"/>
        <w:rPr>
          <w:sz w:val="20"/>
          <w:szCs w:val="20"/>
          <w:lang w:val="en-US"/>
        </w:rPr>
      </w:pPr>
      <w:r w:rsidRPr="00EB7F42">
        <w:rPr>
          <w:sz w:val="20"/>
          <w:szCs w:val="20"/>
          <w:u w:val="single"/>
          <w:lang w:val="en-US"/>
        </w:rPr>
        <w:t>Table 1</w:t>
      </w:r>
      <w:r w:rsidRPr="00EB7F42">
        <w:rPr>
          <w:sz w:val="20"/>
          <w:szCs w:val="20"/>
          <w:lang w:val="en-US"/>
        </w:rPr>
        <w:t xml:space="preserve">: List of </w:t>
      </w:r>
      <w:r w:rsidR="00417BC8" w:rsidRPr="00EB7F42">
        <w:rPr>
          <w:sz w:val="20"/>
          <w:szCs w:val="20"/>
          <w:lang w:val="en-US"/>
        </w:rPr>
        <w:t xml:space="preserve">stimuli </w:t>
      </w:r>
      <w:r w:rsidRPr="00EB7F42">
        <w:rPr>
          <w:sz w:val="20"/>
          <w:szCs w:val="20"/>
          <w:lang w:val="en-US"/>
        </w:rPr>
        <w:t>and relations used to build the analogies of the experiment</w:t>
      </w:r>
    </w:p>
    <w:sectPr w:rsidR="00C92A14" w:rsidRPr="00EB7F42" w:rsidSect="00033D6F">
      <w:footnotePr>
        <w:pos w:val="beneathText"/>
      </w:footnotePr>
      <w:type w:val="continuous"/>
      <w:pgSz w:w="12240" w:h="15840"/>
      <w:pgMar w:top="1440" w:right="1080" w:bottom="1080" w:left="1080" w:header="1440" w:footer="1080" w:gutter="0"/>
      <w:cols w:space="36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altName w:val="Times New Roman"/>
    <w:panose1 w:val="0202060306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Palatino">
    <w:panose1 w:val="02040502050505030304"/>
    <w:charset w:val="00"/>
    <w:family w:val="roman"/>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D7940D6"/>
    <w:multiLevelType w:val="hybridMultilevel"/>
    <w:tmpl w:val="FCACEC26"/>
    <w:lvl w:ilvl="0" w:tplc="89C4AB58">
      <w:start w:val="1"/>
      <w:numFmt w:val="upperRoman"/>
      <w:lvlText w:val="%1)"/>
      <w:lvlJc w:val="left"/>
      <w:pPr>
        <w:ind w:left="901" w:hanging="72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BC522F"/>
    <w:rsid w:val="00002064"/>
    <w:rsid w:val="000032C4"/>
    <w:rsid w:val="00021948"/>
    <w:rsid w:val="00023EA9"/>
    <w:rsid w:val="00033D6F"/>
    <w:rsid w:val="00053CD0"/>
    <w:rsid w:val="000604C7"/>
    <w:rsid w:val="00063B91"/>
    <w:rsid w:val="00083211"/>
    <w:rsid w:val="0008564F"/>
    <w:rsid w:val="0009540D"/>
    <w:rsid w:val="000A3F8C"/>
    <w:rsid w:val="000A46CE"/>
    <w:rsid w:val="000A4DD4"/>
    <w:rsid w:val="000B26E6"/>
    <w:rsid w:val="000D123D"/>
    <w:rsid w:val="000D6C21"/>
    <w:rsid w:val="000E5B8D"/>
    <w:rsid w:val="000F1A49"/>
    <w:rsid w:val="000F6140"/>
    <w:rsid w:val="001103A8"/>
    <w:rsid w:val="001149E0"/>
    <w:rsid w:val="00126135"/>
    <w:rsid w:val="0012632D"/>
    <w:rsid w:val="00130207"/>
    <w:rsid w:val="001651A4"/>
    <w:rsid w:val="001773C9"/>
    <w:rsid w:val="001921C7"/>
    <w:rsid w:val="00197185"/>
    <w:rsid w:val="001D2F38"/>
    <w:rsid w:val="001E5D3E"/>
    <w:rsid w:val="001F7C15"/>
    <w:rsid w:val="00200F61"/>
    <w:rsid w:val="00205DAF"/>
    <w:rsid w:val="00207BDA"/>
    <w:rsid w:val="00213F13"/>
    <w:rsid w:val="00222017"/>
    <w:rsid w:val="0022776A"/>
    <w:rsid w:val="002324EF"/>
    <w:rsid w:val="0025249B"/>
    <w:rsid w:val="002549E5"/>
    <w:rsid w:val="0026371C"/>
    <w:rsid w:val="00265F15"/>
    <w:rsid w:val="00271303"/>
    <w:rsid w:val="00272354"/>
    <w:rsid w:val="00272C3D"/>
    <w:rsid w:val="00273503"/>
    <w:rsid w:val="0027455D"/>
    <w:rsid w:val="002801C2"/>
    <w:rsid w:val="002802F0"/>
    <w:rsid w:val="00281477"/>
    <w:rsid w:val="00291C1E"/>
    <w:rsid w:val="00294BA6"/>
    <w:rsid w:val="002962B9"/>
    <w:rsid w:val="002A22EE"/>
    <w:rsid w:val="002D0969"/>
    <w:rsid w:val="002D2E2E"/>
    <w:rsid w:val="002E041E"/>
    <w:rsid w:val="002E3D48"/>
    <w:rsid w:val="00304B3B"/>
    <w:rsid w:val="003073A6"/>
    <w:rsid w:val="0033292D"/>
    <w:rsid w:val="003455D1"/>
    <w:rsid w:val="00354804"/>
    <w:rsid w:val="00363DB4"/>
    <w:rsid w:val="00381702"/>
    <w:rsid w:val="00383BE7"/>
    <w:rsid w:val="003859AB"/>
    <w:rsid w:val="003A1296"/>
    <w:rsid w:val="003A4663"/>
    <w:rsid w:val="003B5B1A"/>
    <w:rsid w:val="003C2113"/>
    <w:rsid w:val="003C6557"/>
    <w:rsid w:val="003E43F7"/>
    <w:rsid w:val="004009FB"/>
    <w:rsid w:val="00404FE8"/>
    <w:rsid w:val="00414B4B"/>
    <w:rsid w:val="00417A17"/>
    <w:rsid w:val="00417BC8"/>
    <w:rsid w:val="00424DED"/>
    <w:rsid w:val="0043271B"/>
    <w:rsid w:val="00445C5B"/>
    <w:rsid w:val="00462D47"/>
    <w:rsid w:val="004A0D57"/>
    <w:rsid w:val="004B25F9"/>
    <w:rsid w:val="004B27CE"/>
    <w:rsid w:val="004B39A5"/>
    <w:rsid w:val="004B6817"/>
    <w:rsid w:val="004C62E6"/>
    <w:rsid w:val="004E054C"/>
    <w:rsid w:val="004E05D2"/>
    <w:rsid w:val="004F04D4"/>
    <w:rsid w:val="004F4E8D"/>
    <w:rsid w:val="00506043"/>
    <w:rsid w:val="00510372"/>
    <w:rsid w:val="00515C4A"/>
    <w:rsid w:val="00525987"/>
    <w:rsid w:val="005279E7"/>
    <w:rsid w:val="00530D77"/>
    <w:rsid w:val="00534A4F"/>
    <w:rsid w:val="005359C9"/>
    <w:rsid w:val="00544E05"/>
    <w:rsid w:val="005866C9"/>
    <w:rsid w:val="00586F48"/>
    <w:rsid w:val="005975D5"/>
    <w:rsid w:val="005A360F"/>
    <w:rsid w:val="005A3B24"/>
    <w:rsid w:val="005A69D4"/>
    <w:rsid w:val="005B2E43"/>
    <w:rsid w:val="005C6D7E"/>
    <w:rsid w:val="005C7CDC"/>
    <w:rsid w:val="005D5A5C"/>
    <w:rsid w:val="005F3232"/>
    <w:rsid w:val="005F6A73"/>
    <w:rsid w:val="006006A2"/>
    <w:rsid w:val="00600748"/>
    <w:rsid w:val="00600E93"/>
    <w:rsid w:val="006018FC"/>
    <w:rsid w:val="00605895"/>
    <w:rsid w:val="00612D4C"/>
    <w:rsid w:val="00624D4E"/>
    <w:rsid w:val="00631341"/>
    <w:rsid w:val="006348BC"/>
    <w:rsid w:val="00640E77"/>
    <w:rsid w:val="00641E0C"/>
    <w:rsid w:val="00647896"/>
    <w:rsid w:val="00672493"/>
    <w:rsid w:val="006735AB"/>
    <w:rsid w:val="006759AB"/>
    <w:rsid w:val="006B79FB"/>
    <w:rsid w:val="006C110F"/>
    <w:rsid w:val="006D23D2"/>
    <w:rsid w:val="006F154F"/>
    <w:rsid w:val="006F203B"/>
    <w:rsid w:val="00722600"/>
    <w:rsid w:val="0073437F"/>
    <w:rsid w:val="007355F9"/>
    <w:rsid w:val="00735950"/>
    <w:rsid w:val="00750540"/>
    <w:rsid w:val="00764C1E"/>
    <w:rsid w:val="007670A2"/>
    <w:rsid w:val="0076747A"/>
    <w:rsid w:val="00787F20"/>
    <w:rsid w:val="0079512A"/>
    <w:rsid w:val="007969F0"/>
    <w:rsid w:val="007979AF"/>
    <w:rsid w:val="00797ADF"/>
    <w:rsid w:val="007B15A2"/>
    <w:rsid w:val="007C05BF"/>
    <w:rsid w:val="007C4D0E"/>
    <w:rsid w:val="00805A7A"/>
    <w:rsid w:val="00807F5D"/>
    <w:rsid w:val="00822927"/>
    <w:rsid w:val="00834C87"/>
    <w:rsid w:val="00845A48"/>
    <w:rsid w:val="008501EC"/>
    <w:rsid w:val="00852A41"/>
    <w:rsid w:val="0086632B"/>
    <w:rsid w:val="00895D57"/>
    <w:rsid w:val="008963B9"/>
    <w:rsid w:val="008A0B8D"/>
    <w:rsid w:val="008A6018"/>
    <w:rsid w:val="008B01E3"/>
    <w:rsid w:val="008B2D8B"/>
    <w:rsid w:val="008D676E"/>
    <w:rsid w:val="00904DA9"/>
    <w:rsid w:val="0090543E"/>
    <w:rsid w:val="0091304D"/>
    <w:rsid w:val="009258DD"/>
    <w:rsid w:val="0092710B"/>
    <w:rsid w:val="009360FD"/>
    <w:rsid w:val="0095236A"/>
    <w:rsid w:val="009622C9"/>
    <w:rsid w:val="009624F1"/>
    <w:rsid w:val="00965477"/>
    <w:rsid w:val="009678E4"/>
    <w:rsid w:val="00972F34"/>
    <w:rsid w:val="009744E9"/>
    <w:rsid w:val="00975A50"/>
    <w:rsid w:val="009821BC"/>
    <w:rsid w:val="00985129"/>
    <w:rsid w:val="00990474"/>
    <w:rsid w:val="00991255"/>
    <w:rsid w:val="00992AC9"/>
    <w:rsid w:val="009A17AB"/>
    <w:rsid w:val="009D5BA6"/>
    <w:rsid w:val="009E1E99"/>
    <w:rsid w:val="009F6AF4"/>
    <w:rsid w:val="009F7674"/>
    <w:rsid w:val="00A00131"/>
    <w:rsid w:val="00A20078"/>
    <w:rsid w:val="00A20B9A"/>
    <w:rsid w:val="00A248B5"/>
    <w:rsid w:val="00A33983"/>
    <w:rsid w:val="00A70991"/>
    <w:rsid w:val="00A754FE"/>
    <w:rsid w:val="00A949BF"/>
    <w:rsid w:val="00A966C8"/>
    <w:rsid w:val="00AA1AA3"/>
    <w:rsid w:val="00AB31D5"/>
    <w:rsid w:val="00AB7D57"/>
    <w:rsid w:val="00AC73C8"/>
    <w:rsid w:val="00AD0C4B"/>
    <w:rsid w:val="00AD6020"/>
    <w:rsid w:val="00AE25FA"/>
    <w:rsid w:val="00B05A47"/>
    <w:rsid w:val="00B15C3A"/>
    <w:rsid w:val="00B21D8B"/>
    <w:rsid w:val="00B303FE"/>
    <w:rsid w:val="00B32307"/>
    <w:rsid w:val="00B353B9"/>
    <w:rsid w:val="00B60B91"/>
    <w:rsid w:val="00B648B5"/>
    <w:rsid w:val="00B6707E"/>
    <w:rsid w:val="00B72B89"/>
    <w:rsid w:val="00B8104E"/>
    <w:rsid w:val="00B86D6E"/>
    <w:rsid w:val="00BA11B1"/>
    <w:rsid w:val="00BA25B5"/>
    <w:rsid w:val="00BA554C"/>
    <w:rsid w:val="00BC3B9B"/>
    <w:rsid w:val="00BC522F"/>
    <w:rsid w:val="00BE12F9"/>
    <w:rsid w:val="00BE702C"/>
    <w:rsid w:val="00C13C6B"/>
    <w:rsid w:val="00C55E22"/>
    <w:rsid w:val="00C74432"/>
    <w:rsid w:val="00C81090"/>
    <w:rsid w:val="00C83A93"/>
    <w:rsid w:val="00C92A14"/>
    <w:rsid w:val="00C93070"/>
    <w:rsid w:val="00C9318C"/>
    <w:rsid w:val="00C93482"/>
    <w:rsid w:val="00C945D6"/>
    <w:rsid w:val="00CB372A"/>
    <w:rsid w:val="00CD31AC"/>
    <w:rsid w:val="00CD7051"/>
    <w:rsid w:val="00CE1E19"/>
    <w:rsid w:val="00CE40FF"/>
    <w:rsid w:val="00CF56D7"/>
    <w:rsid w:val="00D00CCE"/>
    <w:rsid w:val="00D0376C"/>
    <w:rsid w:val="00D040B0"/>
    <w:rsid w:val="00D15836"/>
    <w:rsid w:val="00D172D9"/>
    <w:rsid w:val="00D2708C"/>
    <w:rsid w:val="00D43B87"/>
    <w:rsid w:val="00D444CE"/>
    <w:rsid w:val="00D559BE"/>
    <w:rsid w:val="00D74A0C"/>
    <w:rsid w:val="00D76E41"/>
    <w:rsid w:val="00D82A22"/>
    <w:rsid w:val="00D84A42"/>
    <w:rsid w:val="00D87D7E"/>
    <w:rsid w:val="00D9115B"/>
    <w:rsid w:val="00D936C3"/>
    <w:rsid w:val="00D95A0E"/>
    <w:rsid w:val="00D96A28"/>
    <w:rsid w:val="00DA24B2"/>
    <w:rsid w:val="00DC075E"/>
    <w:rsid w:val="00DD046E"/>
    <w:rsid w:val="00DD06E2"/>
    <w:rsid w:val="00DD4AD0"/>
    <w:rsid w:val="00DE09E1"/>
    <w:rsid w:val="00DE6DB6"/>
    <w:rsid w:val="00DF1F98"/>
    <w:rsid w:val="00DF7833"/>
    <w:rsid w:val="00E01714"/>
    <w:rsid w:val="00E021B4"/>
    <w:rsid w:val="00E06025"/>
    <w:rsid w:val="00E4128F"/>
    <w:rsid w:val="00E4773F"/>
    <w:rsid w:val="00E532AD"/>
    <w:rsid w:val="00E65972"/>
    <w:rsid w:val="00E90FF3"/>
    <w:rsid w:val="00EA42EF"/>
    <w:rsid w:val="00EB0112"/>
    <w:rsid w:val="00EB44D4"/>
    <w:rsid w:val="00EB7F42"/>
    <w:rsid w:val="00ED256D"/>
    <w:rsid w:val="00ED6855"/>
    <w:rsid w:val="00EE064A"/>
    <w:rsid w:val="00F05330"/>
    <w:rsid w:val="00F07FAB"/>
    <w:rsid w:val="00F2027C"/>
    <w:rsid w:val="00F23F56"/>
    <w:rsid w:val="00F24351"/>
    <w:rsid w:val="00F26206"/>
    <w:rsid w:val="00F3671A"/>
    <w:rsid w:val="00F42063"/>
    <w:rsid w:val="00F47BCE"/>
    <w:rsid w:val="00F94860"/>
    <w:rsid w:val="00FB5823"/>
    <w:rsid w:val="00FC604A"/>
    <w:rsid w:val="00FC76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CE"/>
    <w:pPr>
      <w:suppressAutoHyphens/>
      <w:ind w:firstLine="181"/>
      <w:jc w:val="both"/>
    </w:pPr>
    <w:rPr>
      <w:rFonts w:eastAsia="Times" w:cs="Times"/>
      <w:lang w:eastAsia="ar-SA"/>
    </w:rPr>
  </w:style>
  <w:style w:type="paragraph" w:styleId="Titre1">
    <w:name w:val="heading 1"/>
    <w:basedOn w:val="NormalSectionStart"/>
    <w:next w:val="NormalSectionStart"/>
    <w:qFormat/>
    <w:rsid w:val="00F47BCE"/>
    <w:pPr>
      <w:keepNext/>
      <w:numPr>
        <w:numId w:val="1"/>
      </w:numPr>
      <w:spacing w:before="200" w:after="60"/>
      <w:jc w:val="center"/>
      <w:outlineLvl w:val="0"/>
    </w:pPr>
    <w:rPr>
      <w:b/>
      <w:sz w:val="24"/>
    </w:rPr>
  </w:style>
  <w:style w:type="paragraph" w:styleId="Titre2">
    <w:name w:val="heading 2"/>
    <w:basedOn w:val="NormalSectionStart"/>
    <w:next w:val="NormalSectionStart"/>
    <w:qFormat/>
    <w:rsid w:val="00F47BCE"/>
    <w:pPr>
      <w:keepNext/>
      <w:numPr>
        <w:ilvl w:val="1"/>
        <w:numId w:val="1"/>
      </w:numPr>
      <w:spacing w:before="200" w:after="60"/>
      <w:jc w:val="left"/>
      <w:outlineLvl w:val="1"/>
    </w:pPr>
    <w:rPr>
      <w:b/>
      <w:sz w:val="22"/>
    </w:rPr>
  </w:style>
  <w:style w:type="paragraph" w:styleId="Titre3">
    <w:name w:val="heading 3"/>
    <w:basedOn w:val="NormalSectionStart"/>
    <w:next w:val="Normal"/>
    <w:qFormat/>
    <w:rsid w:val="00F47BCE"/>
    <w:pPr>
      <w:keepNext/>
      <w:numPr>
        <w:ilvl w:val="2"/>
        <w:numId w:val="1"/>
      </w:numP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F47BCE"/>
  </w:style>
  <w:style w:type="character" w:customStyle="1" w:styleId="WW8Num1z0">
    <w:name w:val="WW8Num1z0"/>
    <w:rsid w:val="00F47BCE"/>
    <w:rPr>
      <w:rFonts w:ascii="Symbol" w:hAnsi="Symbol"/>
    </w:rPr>
  </w:style>
  <w:style w:type="character" w:customStyle="1" w:styleId="WW8Num1z2">
    <w:name w:val="WW8Num1z2"/>
    <w:rsid w:val="00F47BCE"/>
    <w:rPr>
      <w:rFonts w:ascii="Courier New" w:hAnsi="Courier New"/>
    </w:rPr>
  </w:style>
  <w:style w:type="character" w:customStyle="1" w:styleId="WW8Num1z3">
    <w:name w:val="WW8Num1z3"/>
    <w:rsid w:val="00F47BCE"/>
    <w:rPr>
      <w:rFonts w:ascii="Wingdings" w:hAnsi="Wingdings"/>
    </w:rPr>
  </w:style>
  <w:style w:type="character" w:customStyle="1" w:styleId="WW8Num6z0">
    <w:name w:val="WW8Num6z0"/>
    <w:rsid w:val="00F47BCE"/>
    <w:rPr>
      <w:rFonts w:ascii="Symbol" w:hAnsi="Symbol"/>
    </w:rPr>
  </w:style>
  <w:style w:type="character" w:customStyle="1" w:styleId="WW8Num7z0">
    <w:name w:val="WW8Num7z0"/>
    <w:rsid w:val="00F47BCE"/>
    <w:rPr>
      <w:rFonts w:ascii="Symbol" w:hAnsi="Symbol"/>
    </w:rPr>
  </w:style>
  <w:style w:type="character" w:customStyle="1" w:styleId="WW8Num8z0">
    <w:name w:val="WW8Num8z0"/>
    <w:rsid w:val="00F47BCE"/>
    <w:rPr>
      <w:rFonts w:ascii="Symbol" w:hAnsi="Symbol"/>
    </w:rPr>
  </w:style>
  <w:style w:type="character" w:customStyle="1" w:styleId="WW8Num9z0">
    <w:name w:val="WW8Num9z0"/>
    <w:rsid w:val="00F47BCE"/>
    <w:rPr>
      <w:rFonts w:ascii="Symbol" w:hAnsi="Symbol"/>
    </w:rPr>
  </w:style>
  <w:style w:type="character" w:customStyle="1" w:styleId="WW8Num11z0">
    <w:name w:val="WW8Num11z0"/>
    <w:rsid w:val="00F47BCE"/>
    <w:rPr>
      <w:rFonts w:ascii="Symbol" w:hAnsi="Symbol"/>
    </w:rPr>
  </w:style>
  <w:style w:type="character" w:customStyle="1" w:styleId="Policepardfaut1">
    <w:name w:val="Police par défaut1"/>
    <w:rsid w:val="00F47BCE"/>
  </w:style>
  <w:style w:type="character" w:customStyle="1" w:styleId="Caractredenotedebasdepage">
    <w:name w:val="Caractère de note de bas de page"/>
    <w:basedOn w:val="Policepardfaut1"/>
    <w:rsid w:val="00F47BCE"/>
    <w:rPr>
      <w:vertAlign w:val="superscript"/>
    </w:rPr>
  </w:style>
  <w:style w:type="character" w:styleId="Lienhypertexte">
    <w:name w:val="Hyperlink"/>
    <w:basedOn w:val="Policepardfaut1"/>
    <w:semiHidden/>
    <w:rsid w:val="00F47BCE"/>
    <w:rPr>
      <w:color w:val="0000FF"/>
      <w:u w:val="single"/>
    </w:rPr>
  </w:style>
  <w:style w:type="character" w:styleId="Appelnotedebasdep">
    <w:name w:val="footnote reference"/>
    <w:semiHidden/>
    <w:rsid w:val="00F47BCE"/>
    <w:rPr>
      <w:vertAlign w:val="superscript"/>
    </w:rPr>
  </w:style>
  <w:style w:type="paragraph" w:customStyle="1" w:styleId="Titre10">
    <w:name w:val="Titre1"/>
    <w:basedOn w:val="Normal"/>
    <w:next w:val="Corpsdetexte"/>
    <w:rsid w:val="00F47BCE"/>
    <w:pPr>
      <w:keepNext/>
      <w:spacing w:before="240" w:after="120"/>
    </w:pPr>
    <w:rPr>
      <w:rFonts w:ascii="Arial" w:eastAsia="MS Mincho" w:hAnsi="Arial" w:cs="Tahoma"/>
      <w:sz w:val="28"/>
      <w:szCs w:val="28"/>
    </w:rPr>
  </w:style>
  <w:style w:type="paragraph" w:styleId="Corpsdetexte">
    <w:name w:val="Body Text"/>
    <w:basedOn w:val="Normal"/>
    <w:semiHidden/>
    <w:rsid w:val="00F47BCE"/>
    <w:pPr>
      <w:spacing w:after="120"/>
    </w:pPr>
  </w:style>
  <w:style w:type="paragraph" w:styleId="Liste">
    <w:name w:val="List"/>
    <w:basedOn w:val="Corpsdetexte"/>
    <w:semiHidden/>
    <w:rsid w:val="00F47BCE"/>
    <w:rPr>
      <w:rFonts w:cs="Tahoma"/>
    </w:rPr>
  </w:style>
  <w:style w:type="paragraph" w:customStyle="1" w:styleId="Lgende1">
    <w:name w:val="Légende1"/>
    <w:basedOn w:val="NormalSectionStart"/>
    <w:next w:val="NormalSectionStart"/>
    <w:rsid w:val="00F47BCE"/>
    <w:pPr>
      <w:jc w:val="center"/>
    </w:pPr>
  </w:style>
  <w:style w:type="paragraph" w:customStyle="1" w:styleId="Rpertoire">
    <w:name w:val="Répertoire"/>
    <w:basedOn w:val="Normal"/>
    <w:rsid w:val="00F47BCE"/>
    <w:pPr>
      <w:suppressLineNumbers/>
    </w:pPr>
    <w:rPr>
      <w:rFonts w:cs="Tahoma"/>
    </w:rPr>
  </w:style>
  <w:style w:type="paragraph" w:customStyle="1" w:styleId="NormalSectionStart">
    <w:name w:val="Normal Section Start"/>
    <w:basedOn w:val="Normal"/>
    <w:next w:val="Normal"/>
    <w:rsid w:val="00F47BCE"/>
    <w:pPr>
      <w:ind w:firstLine="0"/>
    </w:pPr>
    <w:rPr>
      <w:rFonts w:eastAsia="Times New Roman"/>
    </w:rPr>
  </w:style>
  <w:style w:type="paragraph" w:customStyle="1" w:styleId="ntranscript">
    <w:name w:val="ntranscript"/>
    <w:basedOn w:val="Normal"/>
    <w:rsid w:val="00F47BCE"/>
    <w:pPr>
      <w:tabs>
        <w:tab w:val="left" w:pos="360"/>
      </w:tabs>
      <w:ind w:left="1440" w:hanging="1440"/>
    </w:pPr>
    <w:rPr>
      <w:rFonts w:ascii="Palatino" w:hAnsi="Palatino"/>
    </w:rPr>
  </w:style>
  <w:style w:type="paragraph" w:styleId="Notedebasdepage">
    <w:name w:val="footnote text"/>
    <w:basedOn w:val="Normal"/>
    <w:semiHidden/>
    <w:rsid w:val="00F47BCE"/>
    <w:rPr>
      <w:sz w:val="18"/>
    </w:rPr>
  </w:style>
  <w:style w:type="paragraph" w:customStyle="1" w:styleId="Figure">
    <w:name w:val="Figure"/>
    <w:basedOn w:val="NormalSectionStart"/>
    <w:rsid w:val="00F47BCE"/>
    <w:pPr>
      <w:ind w:firstLine="187"/>
      <w:jc w:val="center"/>
    </w:pPr>
  </w:style>
  <w:style w:type="paragraph" w:customStyle="1" w:styleId="NormalHeading3">
    <w:name w:val="Normal Heading 3"/>
    <w:basedOn w:val="NormalSectionStart"/>
    <w:next w:val="Normal"/>
    <w:rsid w:val="00F47BCE"/>
    <w:pPr>
      <w:spacing w:before="240"/>
    </w:pPr>
  </w:style>
  <w:style w:type="paragraph" w:customStyle="1" w:styleId="TableContent">
    <w:name w:val="Table Content"/>
    <w:basedOn w:val="NormalSectionStart"/>
    <w:rsid w:val="00F47BCE"/>
  </w:style>
  <w:style w:type="paragraph" w:customStyle="1" w:styleId="Reference">
    <w:name w:val="Reference"/>
    <w:basedOn w:val="Normal"/>
    <w:rsid w:val="00F47BCE"/>
    <w:pPr>
      <w:ind w:left="181" w:hanging="181"/>
    </w:pPr>
    <w:rPr>
      <w:rFonts w:eastAsia="Times New Roman"/>
    </w:rPr>
  </w:style>
  <w:style w:type="paragraph" w:customStyle="1" w:styleId="Explorateurdedocuments1">
    <w:name w:val="Explorateur de documents1"/>
    <w:basedOn w:val="Normal"/>
    <w:rsid w:val="00F47BCE"/>
    <w:pPr>
      <w:shd w:val="clear" w:color="auto" w:fill="000080"/>
    </w:pPr>
    <w:rPr>
      <w:rFonts w:ascii="Tahoma" w:hAnsi="Tahoma"/>
    </w:rPr>
  </w:style>
  <w:style w:type="paragraph" w:customStyle="1" w:styleId="Abstracttext">
    <w:name w:val="Abstract text"/>
    <w:basedOn w:val="NormalSectionStart"/>
    <w:rsid w:val="00F47BCE"/>
    <w:pPr>
      <w:spacing w:line="200" w:lineRule="exact"/>
      <w:ind w:left="181" w:right="181"/>
    </w:pPr>
    <w:rPr>
      <w:sz w:val="18"/>
    </w:rPr>
  </w:style>
  <w:style w:type="paragraph" w:customStyle="1" w:styleId="Abstractheading">
    <w:name w:val="Abstract heading"/>
    <w:basedOn w:val="Titre1"/>
    <w:next w:val="Abstracttext"/>
    <w:rsid w:val="00F47BCE"/>
    <w:pPr>
      <w:numPr>
        <w:numId w:val="0"/>
      </w:numPr>
      <w:spacing w:before="0" w:after="200"/>
    </w:pPr>
    <w:rPr>
      <w:sz w:val="20"/>
    </w:rPr>
  </w:style>
  <w:style w:type="paragraph" w:customStyle="1" w:styleId="Authorname">
    <w:name w:val="Author name"/>
    <w:basedOn w:val="NormalSectionStart"/>
    <w:next w:val="Affiliation"/>
    <w:rsid w:val="00F47BCE"/>
    <w:pPr>
      <w:jc w:val="center"/>
    </w:pPr>
    <w:rPr>
      <w:b/>
      <w:sz w:val="22"/>
    </w:rPr>
  </w:style>
  <w:style w:type="paragraph" w:customStyle="1" w:styleId="Affiliation">
    <w:name w:val="Affiliation"/>
    <w:basedOn w:val="NormalSectionStart"/>
    <w:rsid w:val="00F47BCE"/>
    <w:pPr>
      <w:jc w:val="center"/>
    </w:pPr>
  </w:style>
  <w:style w:type="paragraph" w:styleId="Titre">
    <w:name w:val="Title"/>
    <w:basedOn w:val="NormalSectionStart"/>
    <w:next w:val="Authorname"/>
    <w:qFormat/>
    <w:rsid w:val="00F47BCE"/>
    <w:pPr>
      <w:jc w:val="center"/>
    </w:pPr>
    <w:rPr>
      <w:b/>
      <w:kern w:val="1"/>
      <w:sz w:val="28"/>
    </w:rPr>
  </w:style>
  <w:style w:type="paragraph" w:styleId="Sous-titre">
    <w:name w:val="Subtitle"/>
    <w:basedOn w:val="Titre10"/>
    <w:next w:val="Corpsdetexte"/>
    <w:qFormat/>
    <w:rsid w:val="00F47BCE"/>
    <w:pPr>
      <w:jc w:val="center"/>
    </w:pPr>
    <w:rPr>
      <w:i/>
      <w:iCs/>
    </w:rPr>
  </w:style>
  <w:style w:type="paragraph" w:customStyle="1" w:styleId="Contenudetableau">
    <w:name w:val="Contenu de tableau"/>
    <w:basedOn w:val="Normal"/>
    <w:rsid w:val="00F47BCE"/>
    <w:pPr>
      <w:suppressLineNumbers/>
    </w:pPr>
  </w:style>
  <w:style w:type="paragraph" w:customStyle="1" w:styleId="Titredetableau">
    <w:name w:val="Titre de tableau"/>
    <w:basedOn w:val="Contenudetableau"/>
    <w:rsid w:val="00F47BCE"/>
    <w:pPr>
      <w:jc w:val="center"/>
    </w:pPr>
    <w:rPr>
      <w:b/>
      <w:bCs/>
    </w:rPr>
  </w:style>
  <w:style w:type="paragraph" w:styleId="NormalWeb">
    <w:name w:val="Normal (Web)"/>
    <w:basedOn w:val="Normal"/>
    <w:uiPriority w:val="99"/>
    <w:unhideWhenUsed/>
    <w:rsid w:val="009744E9"/>
    <w:pPr>
      <w:suppressAutoHyphens w:val="0"/>
      <w:spacing w:before="100" w:beforeAutospacing="1" w:after="100" w:afterAutospacing="1"/>
      <w:ind w:firstLine="0"/>
      <w:jc w:val="left"/>
    </w:pPr>
    <w:rPr>
      <w:rFonts w:eastAsia="Times New Roman" w:cs="Times New Roman"/>
      <w:sz w:val="24"/>
      <w:szCs w:val="24"/>
      <w:lang w:val="fr-FR" w:eastAsia="fr-FR"/>
    </w:rPr>
  </w:style>
  <w:style w:type="character" w:styleId="Marquedecommentaire">
    <w:name w:val="annotation reference"/>
    <w:basedOn w:val="Policepardfaut"/>
    <w:uiPriority w:val="99"/>
    <w:semiHidden/>
    <w:unhideWhenUsed/>
    <w:rsid w:val="00207BDA"/>
    <w:rPr>
      <w:sz w:val="16"/>
      <w:szCs w:val="16"/>
    </w:rPr>
  </w:style>
  <w:style w:type="paragraph" w:styleId="Commentaire">
    <w:name w:val="annotation text"/>
    <w:basedOn w:val="Normal"/>
    <w:link w:val="CommentaireCar"/>
    <w:uiPriority w:val="99"/>
    <w:semiHidden/>
    <w:unhideWhenUsed/>
    <w:rsid w:val="00207BDA"/>
  </w:style>
  <w:style w:type="character" w:customStyle="1" w:styleId="CommentaireCar">
    <w:name w:val="Commentaire Car"/>
    <w:basedOn w:val="Policepardfaut"/>
    <w:link w:val="Commentaire"/>
    <w:uiPriority w:val="99"/>
    <w:semiHidden/>
    <w:rsid w:val="00207BDA"/>
    <w:rPr>
      <w:rFonts w:eastAsia="Times" w:cs="Times"/>
      <w:lang w:val="en-US" w:eastAsia="ar-SA"/>
    </w:rPr>
  </w:style>
  <w:style w:type="paragraph" w:styleId="Objetducommentaire">
    <w:name w:val="annotation subject"/>
    <w:basedOn w:val="Commentaire"/>
    <w:next w:val="Commentaire"/>
    <w:link w:val="ObjetducommentaireCar"/>
    <w:uiPriority w:val="99"/>
    <w:semiHidden/>
    <w:unhideWhenUsed/>
    <w:rsid w:val="00207BDA"/>
    <w:rPr>
      <w:b/>
      <w:bCs/>
    </w:rPr>
  </w:style>
  <w:style w:type="character" w:customStyle="1" w:styleId="ObjetducommentaireCar">
    <w:name w:val="Objet du commentaire Car"/>
    <w:basedOn w:val="CommentaireCar"/>
    <w:link w:val="Objetducommentaire"/>
    <w:uiPriority w:val="99"/>
    <w:semiHidden/>
    <w:rsid w:val="00207BDA"/>
    <w:rPr>
      <w:b/>
      <w:bCs/>
    </w:rPr>
  </w:style>
  <w:style w:type="paragraph" w:styleId="Textedebulles">
    <w:name w:val="Balloon Text"/>
    <w:basedOn w:val="Normal"/>
    <w:link w:val="TextedebullesCar"/>
    <w:uiPriority w:val="99"/>
    <w:semiHidden/>
    <w:unhideWhenUsed/>
    <w:rsid w:val="00207BDA"/>
    <w:rPr>
      <w:rFonts w:ascii="Tahoma" w:hAnsi="Tahoma" w:cs="Tahoma"/>
      <w:sz w:val="16"/>
      <w:szCs w:val="16"/>
    </w:rPr>
  </w:style>
  <w:style w:type="character" w:customStyle="1" w:styleId="TextedebullesCar">
    <w:name w:val="Texte de bulles Car"/>
    <w:basedOn w:val="Policepardfaut"/>
    <w:link w:val="Textedebulles"/>
    <w:uiPriority w:val="99"/>
    <w:semiHidden/>
    <w:rsid w:val="00207BDA"/>
    <w:rPr>
      <w:rFonts w:ascii="Tahoma" w:eastAsia="Times"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divs>
    <w:div w:id="1057507976">
      <w:bodyDiv w:val="1"/>
      <w:marLeft w:val="0"/>
      <w:marRight w:val="0"/>
      <w:marTop w:val="0"/>
      <w:marBottom w:val="0"/>
      <w:divBdr>
        <w:top w:val="none" w:sz="0" w:space="0" w:color="auto"/>
        <w:left w:val="none" w:sz="0" w:space="0" w:color="auto"/>
        <w:bottom w:val="none" w:sz="0" w:space="0" w:color="auto"/>
        <w:right w:val="none" w:sz="0" w:space="0" w:color="auto"/>
      </w:divBdr>
      <w:divsChild>
        <w:div w:id="1231889308">
          <w:marLeft w:val="0"/>
          <w:marRight w:val="0"/>
          <w:marTop w:val="0"/>
          <w:marBottom w:val="0"/>
          <w:divBdr>
            <w:top w:val="none" w:sz="0" w:space="0" w:color="auto"/>
            <w:left w:val="none" w:sz="0" w:space="0" w:color="auto"/>
            <w:bottom w:val="none" w:sz="0" w:space="0" w:color="auto"/>
            <w:right w:val="none" w:sz="0" w:space="0" w:color="auto"/>
          </w:divBdr>
          <w:divsChild>
            <w:div w:id="225261159">
              <w:marLeft w:val="0"/>
              <w:marRight w:val="0"/>
              <w:marTop w:val="0"/>
              <w:marBottom w:val="0"/>
              <w:divBdr>
                <w:top w:val="none" w:sz="0" w:space="0" w:color="auto"/>
                <w:left w:val="none" w:sz="0" w:space="0" w:color="auto"/>
                <w:bottom w:val="none" w:sz="0" w:space="0" w:color="auto"/>
                <w:right w:val="none" w:sz="0" w:space="0" w:color="auto"/>
              </w:divBdr>
              <w:divsChild>
                <w:div w:id="1042486718">
                  <w:marLeft w:val="0"/>
                  <w:marRight w:val="0"/>
                  <w:marTop w:val="0"/>
                  <w:marBottom w:val="0"/>
                  <w:divBdr>
                    <w:top w:val="none" w:sz="0" w:space="0" w:color="auto"/>
                    <w:left w:val="none" w:sz="0" w:space="0" w:color="auto"/>
                    <w:bottom w:val="none" w:sz="0" w:space="0" w:color="auto"/>
                    <w:right w:val="none" w:sz="0" w:space="0" w:color="auto"/>
                  </w:divBdr>
                  <w:divsChild>
                    <w:div w:id="45416717">
                      <w:marLeft w:val="0"/>
                      <w:marRight w:val="0"/>
                      <w:marTop w:val="0"/>
                      <w:marBottom w:val="0"/>
                      <w:divBdr>
                        <w:top w:val="none" w:sz="0" w:space="0" w:color="auto"/>
                        <w:left w:val="none" w:sz="0" w:space="0" w:color="auto"/>
                        <w:bottom w:val="none" w:sz="0" w:space="0" w:color="auto"/>
                        <w:right w:val="none" w:sz="0" w:space="0" w:color="auto"/>
                      </w:divBdr>
                      <w:divsChild>
                        <w:div w:id="532621074">
                          <w:marLeft w:val="0"/>
                          <w:marRight w:val="0"/>
                          <w:marTop w:val="0"/>
                          <w:marBottom w:val="0"/>
                          <w:divBdr>
                            <w:top w:val="none" w:sz="0" w:space="0" w:color="auto"/>
                            <w:left w:val="none" w:sz="0" w:space="0" w:color="auto"/>
                            <w:bottom w:val="none" w:sz="0" w:space="0" w:color="auto"/>
                            <w:right w:val="none" w:sz="0" w:space="0" w:color="auto"/>
                          </w:divBdr>
                          <w:divsChild>
                            <w:div w:id="559680418">
                              <w:marLeft w:val="0"/>
                              <w:marRight w:val="0"/>
                              <w:marTop w:val="0"/>
                              <w:marBottom w:val="0"/>
                              <w:divBdr>
                                <w:top w:val="none" w:sz="0" w:space="0" w:color="auto"/>
                                <w:left w:val="none" w:sz="0" w:space="0" w:color="auto"/>
                                <w:bottom w:val="none" w:sz="0" w:space="0" w:color="auto"/>
                                <w:right w:val="none" w:sz="0" w:space="0" w:color="auto"/>
                              </w:divBdr>
                              <w:divsChild>
                                <w:div w:id="2033064514">
                                  <w:marLeft w:val="0"/>
                                  <w:marRight w:val="0"/>
                                  <w:marTop w:val="0"/>
                                  <w:marBottom w:val="0"/>
                                  <w:divBdr>
                                    <w:top w:val="none" w:sz="0" w:space="0" w:color="auto"/>
                                    <w:left w:val="none" w:sz="0" w:space="0" w:color="auto"/>
                                    <w:bottom w:val="none" w:sz="0" w:space="0" w:color="auto"/>
                                    <w:right w:val="none" w:sz="0" w:space="0" w:color="auto"/>
                                  </w:divBdr>
                                  <w:divsChild>
                                    <w:div w:id="1036807728">
                                      <w:marLeft w:val="0"/>
                                      <w:marRight w:val="0"/>
                                      <w:marTop w:val="0"/>
                                      <w:marBottom w:val="0"/>
                                      <w:divBdr>
                                        <w:top w:val="none" w:sz="0" w:space="0" w:color="auto"/>
                                        <w:left w:val="none" w:sz="0" w:space="0" w:color="auto"/>
                                        <w:bottom w:val="none" w:sz="0" w:space="0" w:color="auto"/>
                                        <w:right w:val="none" w:sz="0" w:space="0" w:color="auto"/>
                                      </w:divBdr>
                                      <w:divsChild>
                                        <w:div w:id="403529580">
                                          <w:marLeft w:val="0"/>
                                          <w:marRight w:val="0"/>
                                          <w:marTop w:val="0"/>
                                          <w:marBottom w:val="0"/>
                                          <w:divBdr>
                                            <w:top w:val="none" w:sz="0" w:space="0" w:color="auto"/>
                                            <w:left w:val="none" w:sz="0" w:space="0" w:color="auto"/>
                                            <w:bottom w:val="none" w:sz="0" w:space="0" w:color="auto"/>
                                            <w:right w:val="none" w:sz="0" w:space="0" w:color="auto"/>
                                          </w:divBdr>
                                          <w:divsChild>
                                            <w:div w:id="1092507991">
                                              <w:marLeft w:val="0"/>
                                              <w:marRight w:val="0"/>
                                              <w:marTop w:val="0"/>
                                              <w:marBottom w:val="0"/>
                                              <w:divBdr>
                                                <w:top w:val="none" w:sz="0" w:space="0" w:color="auto"/>
                                                <w:left w:val="none" w:sz="0" w:space="0" w:color="auto"/>
                                                <w:bottom w:val="none" w:sz="0" w:space="0" w:color="auto"/>
                                                <w:right w:val="none" w:sz="0" w:space="0" w:color="auto"/>
                                              </w:divBdr>
                                              <w:divsChild>
                                                <w:div w:id="497381303">
                                                  <w:marLeft w:val="0"/>
                                                  <w:marRight w:val="0"/>
                                                  <w:marTop w:val="0"/>
                                                  <w:marBottom w:val="0"/>
                                                  <w:divBdr>
                                                    <w:top w:val="none" w:sz="0" w:space="0" w:color="auto"/>
                                                    <w:left w:val="none" w:sz="0" w:space="0" w:color="auto"/>
                                                    <w:bottom w:val="none" w:sz="0" w:space="0" w:color="auto"/>
                                                    <w:right w:val="none" w:sz="0" w:space="0" w:color="auto"/>
                                                  </w:divBdr>
                                                  <w:divsChild>
                                                    <w:div w:id="402332392">
                                                      <w:marLeft w:val="0"/>
                                                      <w:marRight w:val="0"/>
                                                      <w:marTop w:val="0"/>
                                                      <w:marBottom w:val="0"/>
                                                      <w:divBdr>
                                                        <w:top w:val="none" w:sz="0" w:space="0" w:color="auto"/>
                                                        <w:left w:val="none" w:sz="0" w:space="0" w:color="auto"/>
                                                        <w:bottom w:val="none" w:sz="0" w:space="0" w:color="auto"/>
                                                        <w:right w:val="none" w:sz="0" w:space="0" w:color="auto"/>
                                                      </w:divBdr>
                                                      <w:divsChild>
                                                        <w:div w:id="1213426427">
                                                          <w:marLeft w:val="0"/>
                                                          <w:marRight w:val="0"/>
                                                          <w:marTop w:val="0"/>
                                                          <w:marBottom w:val="0"/>
                                                          <w:divBdr>
                                                            <w:top w:val="none" w:sz="0" w:space="0" w:color="auto"/>
                                                            <w:left w:val="none" w:sz="0" w:space="0" w:color="auto"/>
                                                            <w:bottom w:val="none" w:sz="0" w:space="0" w:color="auto"/>
                                                            <w:right w:val="none" w:sz="0" w:space="0" w:color="auto"/>
                                                          </w:divBdr>
                                                          <w:divsChild>
                                                            <w:div w:id="58947943">
                                                              <w:marLeft w:val="0"/>
                                                              <w:marRight w:val="0"/>
                                                              <w:marTop w:val="0"/>
                                                              <w:marBottom w:val="0"/>
                                                              <w:divBdr>
                                                                <w:top w:val="none" w:sz="0" w:space="0" w:color="auto"/>
                                                                <w:left w:val="none" w:sz="0" w:space="0" w:color="auto"/>
                                                                <w:bottom w:val="none" w:sz="0" w:space="0" w:color="auto"/>
                                                                <w:right w:val="none" w:sz="0" w:space="0" w:color="auto"/>
                                                              </w:divBdr>
                                                              <w:divsChild>
                                                                <w:div w:id="183180492">
                                                                  <w:marLeft w:val="0"/>
                                                                  <w:marRight w:val="0"/>
                                                                  <w:marTop w:val="0"/>
                                                                  <w:marBottom w:val="0"/>
                                                                  <w:divBdr>
                                                                    <w:top w:val="none" w:sz="0" w:space="0" w:color="auto"/>
                                                                    <w:left w:val="none" w:sz="0" w:space="0" w:color="auto"/>
                                                                    <w:bottom w:val="none" w:sz="0" w:space="0" w:color="auto"/>
                                                                    <w:right w:val="none" w:sz="0" w:space="0" w:color="auto"/>
                                                                  </w:divBdr>
                                                                  <w:divsChild>
                                                                    <w:div w:id="1540166749">
                                                                      <w:marLeft w:val="0"/>
                                                                      <w:marRight w:val="0"/>
                                                                      <w:marTop w:val="0"/>
                                                                      <w:marBottom w:val="0"/>
                                                                      <w:divBdr>
                                                                        <w:top w:val="none" w:sz="0" w:space="0" w:color="auto"/>
                                                                        <w:left w:val="none" w:sz="0" w:space="0" w:color="auto"/>
                                                                        <w:bottom w:val="none" w:sz="0" w:space="0" w:color="auto"/>
                                                                        <w:right w:val="none" w:sz="0" w:space="0" w:color="auto"/>
                                                                      </w:divBdr>
                                                                      <w:divsChild>
                                                                        <w:div w:id="1954702502">
                                                                          <w:marLeft w:val="0"/>
                                                                          <w:marRight w:val="0"/>
                                                                          <w:marTop w:val="0"/>
                                                                          <w:marBottom w:val="0"/>
                                                                          <w:divBdr>
                                                                            <w:top w:val="none" w:sz="0" w:space="0" w:color="auto"/>
                                                                            <w:left w:val="none" w:sz="0" w:space="0" w:color="auto"/>
                                                                            <w:bottom w:val="none" w:sz="0" w:space="0" w:color="auto"/>
                                                                            <w:right w:val="none" w:sz="0" w:space="0" w:color="auto"/>
                                                                          </w:divBdr>
                                                                          <w:divsChild>
                                                                            <w:div w:id="1415589437">
                                                                              <w:marLeft w:val="0"/>
                                                                              <w:marRight w:val="0"/>
                                                                              <w:marTop w:val="0"/>
                                                                              <w:marBottom w:val="0"/>
                                                                              <w:divBdr>
                                                                                <w:top w:val="none" w:sz="0" w:space="0" w:color="auto"/>
                                                                                <w:left w:val="none" w:sz="0" w:space="0" w:color="auto"/>
                                                                                <w:bottom w:val="none" w:sz="0" w:space="0" w:color="auto"/>
                                                                                <w:right w:val="none" w:sz="0" w:space="0" w:color="auto"/>
                                                                              </w:divBdr>
                                                                              <w:divsChild>
                                                                                <w:div w:id="644815219">
                                                                                  <w:marLeft w:val="0"/>
                                                                                  <w:marRight w:val="0"/>
                                                                                  <w:marTop w:val="0"/>
                                                                                  <w:marBottom w:val="0"/>
                                                                                  <w:divBdr>
                                                                                    <w:top w:val="none" w:sz="0" w:space="0" w:color="auto"/>
                                                                                    <w:left w:val="none" w:sz="0" w:space="0" w:color="auto"/>
                                                                                    <w:bottom w:val="none" w:sz="0" w:space="0" w:color="auto"/>
                                                                                    <w:right w:val="none" w:sz="0" w:space="0" w:color="auto"/>
                                                                                  </w:divBdr>
                                                                                  <w:divsChild>
                                                                                    <w:div w:id="2097969111">
                                                                                      <w:marLeft w:val="0"/>
                                                                                      <w:marRight w:val="0"/>
                                                                                      <w:marTop w:val="0"/>
                                                                                      <w:marBottom w:val="0"/>
                                                                                      <w:divBdr>
                                                                                        <w:top w:val="none" w:sz="0" w:space="0" w:color="auto"/>
                                                                                        <w:left w:val="none" w:sz="0" w:space="0" w:color="auto"/>
                                                                                        <w:bottom w:val="none" w:sz="0" w:space="0" w:color="auto"/>
                                                                                        <w:right w:val="none" w:sz="0" w:space="0" w:color="auto"/>
                                                                                      </w:divBdr>
                                                                                      <w:divsChild>
                                                                                        <w:div w:id="963343178">
                                                                                          <w:marLeft w:val="0"/>
                                                                                          <w:marRight w:val="0"/>
                                                                                          <w:marTop w:val="0"/>
                                                                                          <w:marBottom w:val="0"/>
                                                                                          <w:divBdr>
                                                                                            <w:top w:val="none" w:sz="0" w:space="0" w:color="auto"/>
                                                                                            <w:left w:val="none" w:sz="0" w:space="0" w:color="auto"/>
                                                                                            <w:bottom w:val="none" w:sz="0" w:space="0" w:color="auto"/>
                                                                                            <w:right w:val="none" w:sz="0" w:space="0" w:color="auto"/>
                                                                                          </w:divBdr>
                                                                                          <w:divsChild>
                                                                                            <w:div w:id="477192903">
                                                                                              <w:marLeft w:val="0"/>
                                                                                              <w:marRight w:val="0"/>
                                                                                              <w:marTop w:val="0"/>
                                                                                              <w:marBottom w:val="0"/>
                                                                                              <w:divBdr>
                                                                                                <w:top w:val="none" w:sz="0" w:space="0" w:color="auto"/>
                                                                                                <w:left w:val="none" w:sz="0" w:space="0" w:color="auto"/>
                                                                                                <w:bottom w:val="none" w:sz="0" w:space="0" w:color="auto"/>
                                                                                                <w:right w:val="none" w:sz="0" w:space="0" w:color="auto"/>
                                                                                              </w:divBdr>
                                                                                              <w:divsChild>
                                                                                                <w:div w:id="1322931440">
                                                                                                  <w:marLeft w:val="0"/>
                                                                                                  <w:marRight w:val="0"/>
                                                                                                  <w:marTop w:val="0"/>
                                                                                                  <w:marBottom w:val="0"/>
                                                                                                  <w:divBdr>
                                                                                                    <w:top w:val="none" w:sz="0" w:space="0" w:color="auto"/>
                                                                                                    <w:left w:val="none" w:sz="0" w:space="0" w:color="auto"/>
                                                                                                    <w:bottom w:val="none" w:sz="0" w:space="0" w:color="auto"/>
                                                                                                    <w:right w:val="none" w:sz="0" w:space="0" w:color="auto"/>
                                                                                                  </w:divBdr>
                                                                                                  <w:divsChild>
                                                                                                    <w:div w:id="1018040820">
                                                                                                      <w:marLeft w:val="0"/>
                                                                                                      <w:marRight w:val="0"/>
                                                                                                      <w:marTop w:val="0"/>
                                                                                                      <w:marBottom w:val="0"/>
                                                                                                      <w:divBdr>
                                                                                                        <w:top w:val="none" w:sz="0" w:space="0" w:color="auto"/>
                                                                                                        <w:left w:val="none" w:sz="0" w:space="0" w:color="auto"/>
                                                                                                        <w:bottom w:val="none" w:sz="0" w:space="0" w:color="auto"/>
                                                                                                        <w:right w:val="none" w:sz="0" w:space="0" w:color="auto"/>
                                                                                                      </w:divBdr>
                                                                                                      <w:divsChild>
                                                                                                        <w:div w:id="78066845">
                                                                                                          <w:marLeft w:val="0"/>
                                                                                                          <w:marRight w:val="0"/>
                                                                                                          <w:marTop w:val="0"/>
                                                                                                          <w:marBottom w:val="0"/>
                                                                                                          <w:divBdr>
                                                                                                            <w:top w:val="none" w:sz="0" w:space="0" w:color="auto"/>
                                                                                                            <w:left w:val="none" w:sz="0" w:space="0" w:color="auto"/>
                                                                                                            <w:bottom w:val="none" w:sz="0" w:space="0" w:color="auto"/>
                                                                                                            <w:right w:val="none" w:sz="0" w:space="0" w:color="auto"/>
                                                                                                          </w:divBdr>
                                                                                                          <w:divsChild>
                                                                                                            <w:div w:id="1108433400">
                                                                                                              <w:marLeft w:val="0"/>
                                                                                                              <w:marRight w:val="0"/>
                                                                                                              <w:marTop w:val="0"/>
                                                                                                              <w:marBottom w:val="0"/>
                                                                                                              <w:divBdr>
                                                                                                                <w:top w:val="none" w:sz="0" w:space="0" w:color="auto"/>
                                                                                                                <w:left w:val="none" w:sz="0" w:space="0" w:color="auto"/>
                                                                                                                <w:bottom w:val="none" w:sz="0" w:space="0" w:color="auto"/>
                                                                                                                <w:right w:val="none" w:sz="0" w:space="0" w:color="auto"/>
                                                                                                              </w:divBdr>
                                                                                                              <w:divsChild>
                                                                                                                <w:div w:id="13969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916129">
      <w:bodyDiv w:val="1"/>
      <w:marLeft w:val="0"/>
      <w:marRight w:val="0"/>
      <w:marTop w:val="0"/>
      <w:marBottom w:val="0"/>
      <w:divBdr>
        <w:top w:val="none" w:sz="0" w:space="0" w:color="auto"/>
        <w:left w:val="none" w:sz="0" w:space="0" w:color="auto"/>
        <w:bottom w:val="none" w:sz="0" w:space="0" w:color="auto"/>
        <w:right w:val="none" w:sz="0" w:space="0" w:color="auto"/>
      </w:divBdr>
    </w:div>
    <w:div w:id="20419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annick\Desktop\Th&#232;se\4)%20Exp&#233;rimentation%20et%20plannification\3)%20AB%20avant\R&#233;sultats%20AB%20avt%20vs.%20analogie\AB%20avt%20vs.%20Analogi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spPr>
            <a:solidFill>
              <a:schemeClr val="tx1">
                <a:lumMod val="50000"/>
                <a:lumOff val="50000"/>
              </a:schemeClr>
            </a:solidFill>
            <a:ln w="19050">
              <a:solidFill>
                <a:schemeClr val="tx1"/>
              </a:solidFill>
            </a:ln>
          </c:spPr>
          <c:dPt>
            <c:idx val="0"/>
            <c:spPr>
              <a:solidFill>
                <a:schemeClr val="tx1">
                  <a:lumMod val="50000"/>
                  <a:lumOff val="50000"/>
                </a:schemeClr>
              </a:solidFill>
              <a:ln w="19050">
                <a:solidFill>
                  <a:schemeClr val="tx1">
                    <a:lumMod val="50000"/>
                    <a:lumOff val="50000"/>
                  </a:schemeClr>
                </a:solidFill>
              </a:ln>
            </c:spPr>
          </c:dPt>
          <c:dPt>
            <c:idx val="1"/>
            <c:spPr>
              <a:solidFill>
                <a:schemeClr val="tx1">
                  <a:lumMod val="50000"/>
                  <a:lumOff val="50000"/>
                </a:schemeClr>
              </a:solidFill>
              <a:ln w="19050">
                <a:solidFill>
                  <a:schemeClr val="tx1">
                    <a:lumMod val="50000"/>
                    <a:lumOff val="50000"/>
                  </a:schemeClr>
                </a:solidFill>
              </a:ln>
            </c:spPr>
          </c:dPt>
          <c:errBars>
            <c:errBarType val="both"/>
            <c:errValType val="cust"/>
            <c:plus>
              <c:numRef>
                <c:f>Acc!$P$60:$P$61</c:f>
                <c:numCache>
                  <c:formatCode>General</c:formatCode>
                  <c:ptCount val="2"/>
                  <c:pt idx="0">
                    <c:v>3.7931144392629415E-2</c:v>
                  </c:pt>
                  <c:pt idx="1">
                    <c:v>4.445932290642849E-2</c:v>
                  </c:pt>
                </c:numCache>
              </c:numRef>
            </c:plus>
            <c:minus>
              <c:numRef>
                <c:f>Acc!$P$60:$P$61</c:f>
                <c:numCache>
                  <c:formatCode>General</c:formatCode>
                  <c:ptCount val="2"/>
                  <c:pt idx="0">
                    <c:v>3.7931144392629415E-2</c:v>
                  </c:pt>
                  <c:pt idx="1">
                    <c:v>4.445932290642849E-2</c:v>
                  </c:pt>
                </c:numCache>
              </c:numRef>
            </c:minus>
          </c:errBars>
          <c:cat>
            <c:strRef>
              <c:f>Acc!$L$60:$L$61</c:f>
              <c:strCache>
                <c:ptCount val="2"/>
                <c:pt idx="0">
                  <c:v>A:B-then-C:?</c:v>
                </c:pt>
                <c:pt idx="1">
                  <c:v>Standard Analogies</c:v>
                </c:pt>
              </c:strCache>
            </c:strRef>
          </c:cat>
          <c:val>
            <c:numRef>
              <c:f>Acc!$M$60:$M$61</c:f>
              <c:numCache>
                <c:formatCode>General</c:formatCode>
                <c:ptCount val="2"/>
                <c:pt idx="0">
                  <c:v>0.68110236220472453</c:v>
                </c:pt>
                <c:pt idx="1">
                  <c:v>0.59016393442622717</c:v>
                </c:pt>
              </c:numCache>
            </c:numRef>
          </c:val>
        </c:ser>
        <c:axId val="74054656"/>
        <c:axId val="66724608"/>
      </c:barChart>
      <c:catAx>
        <c:axId val="74054656"/>
        <c:scaling>
          <c:orientation val="minMax"/>
        </c:scaling>
        <c:axPos val="b"/>
        <c:numFmt formatCode="General" sourceLinked="1"/>
        <c:tickLblPos val="nextTo"/>
        <c:crossAx val="66724608"/>
        <c:crosses val="autoZero"/>
        <c:auto val="1"/>
        <c:lblAlgn val="ctr"/>
        <c:lblOffset val="100"/>
      </c:catAx>
      <c:valAx>
        <c:axId val="66724608"/>
        <c:scaling>
          <c:orientation val="minMax"/>
        </c:scaling>
        <c:axPos val="l"/>
        <c:title>
          <c:tx>
            <c:rich>
              <a:bodyPr rot="-5400000" vert="horz"/>
              <a:lstStyle/>
              <a:p>
                <a:pPr>
                  <a:defRPr/>
                </a:pPr>
                <a:r>
                  <a:rPr lang="fr-FR"/>
                  <a:t>Score</a:t>
                </a:r>
              </a:p>
            </c:rich>
          </c:tx>
        </c:title>
        <c:numFmt formatCode="General" sourceLinked="1"/>
        <c:tickLblPos val="nextTo"/>
        <c:crossAx val="7405465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982E-0E4C-41FA-ABCC-109EA006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8980</Words>
  <Characters>49391</Characters>
  <Application>Microsoft Office Word</Application>
  <DocSecurity>0</DocSecurity>
  <Lines>411</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 Test Excerpt</vt:lpstr>
      <vt:lpstr>Pre Test Excerpt</vt:lpstr>
    </vt:vector>
  </TitlesOfParts>
  <Company>Microsoft</Company>
  <LinksUpToDate>false</LinksUpToDate>
  <CharactersWithSpaces>58255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Test Excerpt</dc:title>
  <dc:creator>yannick glady</dc:creator>
  <cp:lastModifiedBy> Thibaut</cp:lastModifiedBy>
  <cp:revision>3</cp:revision>
  <cp:lastPrinted>2012-01-22T15:22:00Z</cp:lastPrinted>
  <dcterms:created xsi:type="dcterms:W3CDTF">2012-02-01T12:40:00Z</dcterms:created>
  <dcterms:modified xsi:type="dcterms:W3CDTF">2012-02-01T13:01:00Z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2_1">
    <vt:lpwstr>http://www.zotero.org/styles/apa</vt:lpwstr>
  </property>
  <property fmtid="{D5CDD505-2E9C-101B-9397-08002B2CF9AE}" pid="3" name="Mendeley Recent Style Name 2_1">
    <vt:lpwstr>American Psychological Association 6th Edition</vt:lpwstr>
  </property>
  <property fmtid="{D5CDD505-2E9C-101B-9397-08002B2CF9AE}" pid="4" name="Mendeley Recent Style Id 1_1">
    <vt:lpwstr>http://www.zotero.org/styles/apsa</vt:lpwstr>
  </property>
  <property fmtid="{D5CDD505-2E9C-101B-9397-08002B2CF9AE}" pid="5" name="Mendeley Document_1">
    <vt:lpwstr>True</vt:lpwstr>
  </property>
  <property fmtid="{D5CDD505-2E9C-101B-9397-08002B2CF9AE}" pid="6" name="Mendeley Recent Style Id 9_1">
    <vt:lpwstr>http://www.zotero.org/styles/nature</vt:lpwstr>
  </property>
  <property fmtid="{D5CDD505-2E9C-101B-9397-08002B2CF9AE}" pid="7" name="Mendeley Recent Style Name 1_1">
    <vt:lpwstr>American Political Science Association</vt:lpwstr>
  </property>
  <property fmtid="{D5CDD505-2E9C-101B-9397-08002B2CF9AE}" pid="8" name="Mendeley Recent Style Name 9_1">
    <vt:lpwstr>Nature Journal</vt:lpwstr>
  </property>
  <property fmtid="{D5CDD505-2E9C-101B-9397-08002B2CF9AE}" pid="9" name="Mendeley Recent Style Id 0_1">
    <vt:lpwstr>http://www.zotero.org/styles/ama</vt:lpwstr>
  </property>
  <property fmtid="{D5CDD505-2E9C-101B-9397-08002B2CF9AE}" pid="10" name="Mendeley Recent Style Id 8_1">
    <vt:lpwstr>http://www.zotero.org/styles/mla</vt:lpwstr>
  </property>
  <property fmtid="{D5CDD505-2E9C-101B-9397-08002B2CF9AE}" pid="11" name="Mendeley Recent Style Name 0_1">
    <vt:lpwstr>American Medical Association</vt:lpwstr>
  </property>
  <property fmtid="{D5CDD505-2E9C-101B-9397-08002B2CF9AE}" pid="12" name="Mendeley Recent Style Name 8_1">
    <vt:lpwstr>Modern Language Association</vt:lpwstr>
  </property>
  <property fmtid="{D5CDD505-2E9C-101B-9397-08002B2CF9AE}" pid="13" name="Mendeley Recent Style Id 7_1">
    <vt:lpwstr>http://www.zotero.org/styles/mhra</vt:lpwstr>
  </property>
  <property fmtid="{D5CDD505-2E9C-101B-9397-08002B2CF9AE}" pid="14" name="Mendeley User Name_1">
    <vt:lpwstr>juanick@hotmail.fr@www.mendeley.com</vt:lpwstr>
  </property>
  <property fmtid="{D5CDD505-2E9C-101B-9397-08002B2CF9AE}" pid="15" name="Mendeley Recent Style Name 7_1">
    <vt:lpwstr>Modern Humanities Research Association (Note with Bibliography)</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Citation Style_1">
    <vt:lpwstr>http://www.zotero.org/styles/apa</vt:lpwstr>
  </property>
  <property fmtid="{D5CDD505-2E9C-101B-9397-08002B2CF9AE}" pid="19" name="Mendeley Recent Style Id 5_1">
    <vt:lpwstr>http://www.zotero.org/styles/harvard1</vt:lpwstr>
  </property>
  <property fmtid="{D5CDD505-2E9C-101B-9397-08002B2CF9AE}" pid="20" name="Mendeley Recent Style Name 5_1">
    <vt:lpwstr>Harvard Reference format 1 (Author-Date)</vt:lpwstr>
  </property>
  <property fmtid="{D5CDD505-2E9C-101B-9397-08002B2CF9AE}" pid="21" name="Mendeley Recent Style Id 4_1">
    <vt:lpwstr>http://www.zotero.org/styles/chicago-author-date</vt:lpwstr>
  </property>
  <property fmtid="{D5CDD505-2E9C-101B-9397-08002B2CF9AE}" pid="22" name="Mendeley Recent Style Name 4_1">
    <vt:lpwstr>Chicago Manual of Style (Author-Date format)</vt:lpwstr>
  </property>
  <property fmtid="{D5CDD505-2E9C-101B-9397-08002B2CF9AE}" pid="23" name="Mendeley Recent Style Id 3_1">
    <vt:lpwstr>http://www.zotero.org/styles/asa</vt:lpwstr>
  </property>
  <property fmtid="{D5CDD505-2E9C-101B-9397-08002B2CF9AE}" pid="24" name="Mendeley Recent Style Name 3_1">
    <vt:lpwstr>American Sociological Association</vt:lpwstr>
  </property>
</Properties>
</file>